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14" w:type="dxa"/>
        <w:tblCellMar>
          <w:left w:w="10" w:type="dxa"/>
          <w:right w:w="10" w:type="dxa"/>
        </w:tblCellMar>
        <w:tblLook w:val="0000" w:firstRow="0" w:lastRow="0" w:firstColumn="0" w:lastColumn="0" w:noHBand="0" w:noVBand="0"/>
      </w:tblPr>
      <w:tblGrid>
        <w:gridCol w:w="4850"/>
        <w:gridCol w:w="4464"/>
      </w:tblGrid>
      <w:tr w:rsidR="00D03484" w14:paraId="3C908CAF" w14:textId="77777777">
        <w:tblPrEx>
          <w:tblCellMar>
            <w:top w:w="0" w:type="dxa"/>
            <w:bottom w:w="0" w:type="dxa"/>
          </w:tblCellMar>
        </w:tblPrEx>
        <w:tc>
          <w:tcPr>
            <w:tcW w:w="4850" w:type="dxa"/>
            <w:tcMar>
              <w:top w:w="0" w:type="dxa"/>
              <w:left w:w="0" w:type="dxa"/>
              <w:bottom w:w="0" w:type="dxa"/>
              <w:right w:w="120" w:type="dxa"/>
            </w:tcMar>
            <w:vAlign w:val="center"/>
          </w:tcPr>
          <w:p w14:paraId="614AEC03" w14:textId="77777777" w:rsidR="00D03484" w:rsidRDefault="00000000">
            <w:pPr>
              <w:spacing w:after="40" w:line="240" w:lineRule="auto"/>
            </w:pPr>
            <w:r>
              <w:rPr>
                <w:rFonts w:ascii="Georgia" w:eastAsia="Georgia" w:hAnsi="Georgia" w:cs="Georgia"/>
                <w:b/>
                <w:bCs/>
                <w:color w:val="1F3A52"/>
                <w:sz w:val="48"/>
                <w:szCs w:val="48"/>
              </w:rPr>
              <w:t>James Allman</w:t>
            </w:r>
          </w:p>
          <w:p w14:paraId="124D2A80" w14:textId="281A9467" w:rsidR="00D03484" w:rsidRDefault="00000000">
            <w:pPr>
              <w:spacing w:line="252" w:lineRule="auto"/>
            </w:pPr>
            <w:r>
              <w:rPr>
                <w:color w:val="5F666D"/>
                <w:sz w:val="20"/>
                <w:szCs w:val="20"/>
              </w:rPr>
              <w:t>BSc (</w:t>
            </w:r>
            <w:r w:rsidR="00B20E04">
              <w:rPr>
                <w:color w:val="5F666D"/>
                <w:sz w:val="20"/>
                <w:szCs w:val="20"/>
              </w:rPr>
              <w:t>Hons) · Consultant</w:t>
            </w:r>
            <w:r>
              <w:rPr>
                <w:color w:val="5F666D"/>
                <w:sz w:val="20"/>
                <w:szCs w:val="20"/>
              </w:rPr>
              <w:t xml:space="preserve"> Quantity Surveyor</w:t>
            </w:r>
          </w:p>
        </w:tc>
        <w:tc>
          <w:tcPr>
            <w:tcW w:w="4464" w:type="dxa"/>
            <w:tcMar>
              <w:top w:w="0" w:type="dxa"/>
              <w:left w:w="120" w:type="dxa"/>
              <w:bottom w:w="0" w:type="dxa"/>
              <w:right w:w="0" w:type="dxa"/>
            </w:tcMar>
            <w:vAlign w:val="center"/>
          </w:tcPr>
          <w:p w14:paraId="35642A32" w14:textId="77777777" w:rsidR="00D03484" w:rsidRDefault="00000000">
            <w:pPr>
              <w:spacing w:after="20" w:line="248" w:lineRule="auto"/>
              <w:jc w:val="right"/>
            </w:pPr>
            <w:r>
              <w:rPr>
                <w:b/>
                <w:bCs/>
                <w:color w:val="1F3A52"/>
                <w:sz w:val="16"/>
                <w:szCs w:val="16"/>
              </w:rPr>
              <w:t>Civil Engineering Commercial Management Ltd</w:t>
            </w:r>
          </w:p>
          <w:p w14:paraId="5EB394C2" w14:textId="77777777" w:rsidR="00D03484" w:rsidRDefault="00000000">
            <w:pPr>
              <w:spacing w:line="248" w:lineRule="auto"/>
              <w:jc w:val="right"/>
            </w:pPr>
            <w:r>
              <w:rPr>
                <w:color w:val="5F666D"/>
                <w:sz w:val="17"/>
                <w:szCs w:val="17"/>
              </w:rPr>
              <w:t>34 Wanstead Crescent, Birtley</w:t>
            </w:r>
          </w:p>
          <w:p w14:paraId="2A5EB317" w14:textId="77777777" w:rsidR="00D03484" w:rsidRDefault="00000000">
            <w:pPr>
              <w:spacing w:after="40" w:line="248" w:lineRule="auto"/>
              <w:jc w:val="right"/>
            </w:pPr>
            <w:proofErr w:type="spellStart"/>
            <w:r>
              <w:rPr>
                <w:color w:val="5F666D"/>
                <w:sz w:val="17"/>
                <w:szCs w:val="17"/>
              </w:rPr>
              <w:t>Chester-le-Street</w:t>
            </w:r>
            <w:proofErr w:type="spellEnd"/>
            <w:r>
              <w:rPr>
                <w:color w:val="5F666D"/>
                <w:sz w:val="17"/>
                <w:szCs w:val="17"/>
              </w:rPr>
              <w:t>, Durham DH3 2BP</w:t>
            </w:r>
          </w:p>
          <w:p w14:paraId="0E094051" w14:textId="77777777" w:rsidR="00D03484" w:rsidRDefault="00000000">
            <w:pPr>
              <w:spacing w:line="248" w:lineRule="auto"/>
              <w:jc w:val="right"/>
            </w:pPr>
            <w:r>
              <w:rPr>
                <w:color w:val="5F666D"/>
                <w:sz w:val="17"/>
                <w:szCs w:val="17"/>
              </w:rPr>
              <w:t>07584 032393</w:t>
            </w:r>
          </w:p>
          <w:p w14:paraId="13F5176E" w14:textId="77777777" w:rsidR="00D03484" w:rsidRDefault="00000000">
            <w:pPr>
              <w:spacing w:line="248" w:lineRule="auto"/>
              <w:jc w:val="right"/>
            </w:pPr>
            <w:r>
              <w:rPr>
                <w:color w:val="3F6E8C"/>
                <w:sz w:val="17"/>
                <w:szCs w:val="17"/>
              </w:rPr>
              <w:t>allman45@icloud.com</w:t>
            </w:r>
          </w:p>
        </w:tc>
      </w:tr>
    </w:tbl>
    <w:p w14:paraId="1071F87C" w14:textId="77777777" w:rsidR="00D03484" w:rsidRDefault="00D03484">
      <w:pPr>
        <w:pBdr>
          <w:bottom w:val="single" w:sz="10" w:space="1" w:color="1F3A52"/>
        </w:pBdr>
        <w:spacing w:before="140"/>
      </w:pPr>
    </w:p>
    <w:p w14:paraId="7F565787" w14:textId="33F4A56F" w:rsidR="00D03484" w:rsidRDefault="00000000">
      <w:pPr>
        <w:spacing w:before="110" w:after="40" w:line="252" w:lineRule="auto"/>
      </w:pPr>
      <w:r>
        <w:rPr>
          <w:i/>
          <w:iCs/>
          <w:color w:val="5F666D"/>
          <w:sz w:val="18"/>
          <w:szCs w:val="18"/>
        </w:rPr>
        <w:t xml:space="preserve">Expert </w:t>
      </w:r>
      <w:r w:rsidR="00B20E04">
        <w:rPr>
          <w:i/>
          <w:iCs/>
          <w:color w:val="5F666D"/>
          <w:sz w:val="18"/>
          <w:szCs w:val="18"/>
        </w:rPr>
        <w:t>support · Independent</w:t>
      </w:r>
      <w:r>
        <w:rPr>
          <w:i/>
          <w:iCs/>
          <w:color w:val="5F666D"/>
          <w:sz w:val="18"/>
          <w:szCs w:val="18"/>
        </w:rPr>
        <w:t xml:space="preserve"> quantum </w:t>
      </w:r>
      <w:r w:rsidR="00B20E04">
        <w:rPr>
          <w:i/>
          <w:iCs/>
          <w:color w:val="5F666D"/>
          <w:sz w:val="18"/>
          <w:szCs w:val="18"/>
        </w:rPr>
        <w:t>review · NEC</w:t>
      </w:r>
      <w:r>
        <w:rPr>
          <w:i/>
          <w:iCs/>
          <w:color w:val="5F666D"/>
          <w:sz w:val="18"/>
          <w:szCs w:val="18"/>
        </w:rPr>
        <w:t xml:space="preserve"> &amp; ICC compensation </w:t>
      </w:r>
      <w:r w:rsidR="00B20E04">
        <w:rPr>
          <w:i/>
          <w:iCs/>
          <w:color w:val="5F666D"/>
          <w:sz w:val="18"/>
          <w:szCs w:val="18"/>
        </w:rPr>
        <w:t>events · Loss</w:t>
      </w:r>
      <w:r>
        <w:rPr>
          <w:i/>
          <w:iCs/>
          <w:color w:val="5F666D"/>
          <w:sz w:val="18"/>
          <w:szCs w:val="18"/>
        </w:rPr>
        <w:t xml:space="preserve"> &amp; expense and final account disputes</w:t>
      </w:r>
    </w:p>
    <w:p w14:paraId="2E68D5DF" w14:textId="77777777" w:rsidR="00D03484" w:rsidRDefault="00000000">
      <w:pPr>
        <w:keepNext/>
        <w:pBdr>
          <w:bottom w:val="single" w:sz="4" w:space="6" w:color="D7DCE1"/>
        </w:pBdr>
        <w:spacing w:before="380" w:after="120" w:line="240" w:lineRule="auto"/>
      </w:pPr>
      <w:r>
        <w:rPr>
          <w:rFonts w:ascii="Georgia" w:eastAsia="Georgia" w:hAnsi="Georgia" w:cs="Georgia"/>
          <w:b/>
          <w:bCs/>
          <w:color w:val="1F3A52"/>
          <w:sz w:val="27"/>
          <w:szCs w:val="27"/>
        </w:rPr>
        <w:t>Professional Profile</w:t>
      </w:r>
    </w:p>
    <w:p w14:paraId="06E1A136" w14:textId="77777777" w:rsidR="00D03484" w:rsidRDefault="00000000">
      <w:pPr>
        <w:spacing w:after="160"/>
      </w:pPr>
      <w:r>
        <w:t>Commercial Manager, Quantity Surveyor and quantum consultant with over 18 years’ experience delivering major infrastructure and specialist construction projects across the aviation, nuclear, highways, rail, marine, utilities, energy and civil engineering sectors throughout the UK, on contracts from circa £10m to £500m+.</w:t>
      </w:r>
    </w:p>
    <w:p w14:paraId="18F235E3" w14:textId="77777777" w:rsidR="00D03484" w:rsidRDefault="00000000">
      <w:pPr>
        <w:spacing w:after="160"/>
      </w:pPr>
      <w:r>
        <w:t xml:space="preserve">As Director of Civil Engineering Commercial Management Ltd — an independent consultancy established in 2015 — he provides commercial management, claims, quantum and NEC/ICC compensation event services to contractors, subcontractors, consultants and expert witness practices. He has worked with claims and expert practices including Bridge Expert Services and </w:t>
      </w:r>
      <w:proofErr w:type="spellStart"/>
      <w:r>
        <w:t>Horabin</w:t>
      </w:r>
      <w:proofErr w:type="spellEnd"/>
      <w:r>
        <w:t xml:space="preserve"> Associates, producing independent and expert-style reports across NEC3, NEC4, ICC Ground Investigation and JCT-related disputes.</w:t>
      </w:r>
    </w:p>
    <w:p w14:paraId="1F0A11D2" w14:textId="77777777" w:rsidR="00D03484" w:rsidRDefault="00000000">
      <w:pPr>
        <w:spacing w:after="40"/>
      </w:pPr>
      <w:r>
        <w:t xml:space="preserve">His work spans variations, loss and expense, prolongation, Defined Cost / </w:t>
      </w:r>
      <w:proofErr w:type="spellStart"/>
      <w:r>
        <w:t>SSoCC</w:t>
      </w:r>
      <w:proofErr w:type="spellEnd"/>
      <w:r>
        <w:t xml:space="preserve"> assessment and final account disputes — grounded in the Accepted Programme, contemporaneous records and the contractual valuation rules, and tested against recognised benchmarks such as CESMM4 and BCIS. He is actively developing his testifying expert witness practice and welcomes both expert-support and independent-review appointments.</w:t>
      </w:r>
    </w:p>
    <w:p w14:paraId="605A5C49" w14:textId="77777777" w:rsidR="00D03484" w:rsidRDefault="00000000">
      <w:pPr>
        <w:keepNext/>
        <w:pBdr>
          <w:bottom w:val="single" w:sz="4" w:space="6" w:color="D7DCE1"/>
        </w:pBdr>
        <w:spacing w:before="380" w:after="120" w:line="240" w:lineRule="auto"/>
      </w:pPr>
      <w:proofErr w:type="gramStart"/>
      <w:r>
        <w:rPr>
          <w:rFonts w:ascii="Georgia" w:eastAsia="Georgia" w:hAnsi="Georgia" w:cs="Georgia"/>
          <w:b/>
          <w:bCs/>
          <w:color w:val="1F3A52"/>
          <w:sz w:val="27"/>
          <w:szCs w:val="27"/>
        </w:rPr>
        <w:t>At a Glance</w:t>
      </w:r>
      <w:proofErr w:type="gramEnd"/>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6414"/>
      </w:tblGrid>
      <w:tr w:rsidR="00D03484" w14:paraId="41D8D0F5" w14:textId="77777777" w:rsidTr="00B20E04">
        <w:tblPrEx>
          <w:tblCellMar>
            <w:top w:w="0" w:type="dxa"/>
            <w:bottom w:w="0" w:type="dxa"/>
          </w:tblCellMar>
        </w:tblPrEx>
        <w:tc>
          <w:tcPr>
            <w:tcW w:w="2900" w:type="dxa"/>
            <w:tcMar>
              <w:top w:w="110" w:type="dxa"/>
              <w:left w:w="160" w:type="dxa"/>
              <w:bottom w:w="110" w:type="dxa"/>
              <w:right w:w="160" w:type="dxa"/>
            </w:tcMar>
          </w:tcPr>
          <w:p w14:paraId="059342CD" w14:textId="77777777" w:rsidR="00D03484" w:rsidRDefault="00000000">
            <w:pPr>
              <w:spacing w:line="264" w:lineRule="auto"/>
            </w:pPr>
            <w:r>
              <w:rPr>
                <w:b/>
                <w:bCs/>
                <w:color w:val="1F3A52"/>
                <w:sz w:val="18"/>
                <w:szCs w:val="18"/>
              </w:rPr>
              <w:t>Professional description</w:t>
            </w:r>
          </w:p>
        </w:tc>
        <w:tc>
          <w:tcPr>
            <w:tcW w:w="6414" w:type="dxa"/>
            <w:tcMar>
              <w:top w:w="110" w:type="dxa"/>
              <w:left w:w="60" w:type="dxa"/>
              <w:bottom w:w="110" w:type="dxa"/>
              <w:right w:w="120" w:type="dxa"/>
            </w:tcMar>
          </w:tcPr>
          <w:p w14:paraId="7D76639F" w14:textId="77777777" w:rsidR="00D03484" w:rsidRDefault="00000000">
            <w:pPr>
              <w:spacing w:line="264" w:lineRule="auto"/>
            </w:pPr>
            <w:r>
              <w:rPr>
                <w:sz w:val="19"/>
                <w:szCs w:val="19"/>
              </w:rPr>
              <w:t>Consultant Quantity Surveyor — construction quantum, NEC/ICC compensation events and commercial dispute specialist</w:t>
            </w:r>
          </w:p>
        </w:tc>
      </w:tr>
      <w:tr w:rsidR="00D03484" w14:paraId="51AEA489" w14:textId="77777777" w:rsidTr="00B20E04">
        <w:tblPrEx>
          <w:tblCellMar>
            <w:top w:w="0" w:type="dxa"/>
            <w:bottom w:w="0" w:type="dxa"/>
          </w:tblCellMar>
        </w:tblPrEx>
        <w:tc>
          <w:tcPr>
            <w:tcW w:w="2900" w:type="dxa"/>
            <w:tcMar>
              <w:top w:w="110" w:type="dxa"/>
              <w:left w:w="160" w:type="dxa"/>
              <w:bottom w:w="110" w:type="dxa"/>
              <w:right w:w="160" w:type="dxa"/>
            </w:tcMar>
          </w:tcPr>
          <w:p w14:paraId="35D52D22" w14:textId="77777777" w:rsidR="00D03484" w:rsidRDefault="00000000">
            <w:pPr>
              <w:spacing w:line="264" w:lineRule="auto"/>
            </w:pPr>
            <w:r>
              <w:rPr>
                <w:b/>
                <w:bCs/>
                <w:color w:val="1F3A52"/>
                <w:sz w:val="18"/>
                <w:szCs w:val="18"/>
              </w:rPr>
              <w:t>Qualifications</w:t>
            </w:r>
          </w:p>
        </w:tc>
        <w:tc>
          <w:tcPr>
            <w:tcW w:w="6414" w:type="dxa"/>
            <w:tcMar>
              <w:top w:w="110" w:type="dxa"/>
              <w:left w:w="60" w:type="dxa"/>
              <w:bottom w:w="110" w:type="dxa"/>
              <w:right w:w="120" w:type="dxa"/>
            </w:tcMar>
          </w:tcPr>
          <w:p w14:paraId="4E313AEE" w14:textId="4A8483B1" w:rsidR="00D03484" w:rsidRDefault="00000000">
            <w:pPr>
              <w:spacing w:line="264" w:lineRule="auto"/>
            </w:pPr>
            <w:r>
              <w:rPr>
                <w:sz w:val="19"/>
                <w:szCs w:val="19"/>
              </w:rPr>
              <w:t>BSc (Hons) Quantity Surveying (RICS-accredited)</w:t>
            </w:r>
          </w:p>
        </w:tc>
      </w:tr>
      <w:tr w:rsidR="00D03484" w14:paraId="441CD9A1" w14:textId="77777777" w:rsidTr="00B20E04">
        <w:tblPrEx>
          <w:tblCellMar>
            <w:top w:w="0" w:type="dxa"/>
            <w:bottom w:w="0" w:type="dxa"/>
          </w:tblCellMar>
        </w:tblPrEx>
        <w:tc>
          <w:tcPr>
            <w:tcW w:w="2900" w:type="dxa"/>
            <w:tcMar>
              <w:top w:w="110" w:type="dxa"/>
              <w:left w:w="160" w:type="dxa"/>
              <w:bottom w:w="110" w:type="dxa"/>
              <w:right w:w="160" w:type="dxa"/>
            </w:tcMar>
          </w:tcPr>
          <w:p w14:paraId="33EB0113" w14:textId="77777777" w:rsidR="00D03484" w:rsidRDefault="00000000">
            <w:pPr>
              <w:spacing w:line="264" w:lineRule="auto"/>
            </w:pPr>
            <w:r>
              <w:rPr>
                <w:b/>
                <w:bCs/>
                <w:color w:val="1F3A52"/>
                <w:sz w:val="18"/>
                <w:szCs w:val="18"/>
              </w:rPr>
              <w:t>Specialist field</w:t>
            </w:r>
          </w:p>
        </w:tc>
        <w:tc>
          <w:tcPr>
            <w:tcW w:w="6414" w:type="dxa"/>
            <w:tcMar>
              <w:top w:w="110" w:type="dxa"/>
              <w:left w:w="60" w:type="dxa"/>
              <w:bottom w:w="110" w:type="dxa"/>
              <w:right w:w="120" w:type="dxa"/>
            </w:tcMar>
          </w:tcPr>
          <w:p w14:paraId="5994FF8E" w14:textId="77777777" w:rsidR="00D03484" w:rsidRDefault="00000000">
            <w:pPr>
              <w:spacing w:line="264" w:lineRule="auto"/>
            </w:pPr>
            <w:r>
              <w:rPr>
                <w:sz w:val="19"/>
                <w:szCs w:val="19"/>
              </w:rPr>
              <w:t>Quantum, NEC3/NEC4 and ICC compensation events, variations, loss &amp; expense, prolongation, Defined Cost and final accounts</w:t>
            </w:r>
          </w:p>
        </w:tc>
      </w:tr>
      <w:tr w:rsidR="00D03484" w14:paraId="4B65E31D" w14:textId="77777777" w:rsidTr="00B20E04">
        <w:tblPrEx>
          <w:tblCellMar>
            <w:top w:w="0" w:type="dxa"/>
            <w:bottom w:w="0" w:type="dxa"/>
          </w:tblCellMar>
        </w:tblPrEx>
        <w:tc>
          <w:tcPr>
            <w:tcW w:w="2900" w:type="dxa"/>
            <w:tcMar>
              <w:top w:w="110" w:type="dxa"/>
              <w:left w:w="160" w:type="dxa"/>
              <w:bottom w:w="110" w:type="dxa"/>
              <w:right w:w="160" w:type="dxa"/>
            </w:tcMar>
          </w:tcPr>
          <w:p w14:paraId="21D5D6AC" w14:textId="77777777" w:rsidR="00D03484" w:rsidRDefault="00000000">
            <w:pPr>
              <w:spacing w:line="264" w:lineRule="auto"/>
            </w:pPr>
            <w:r>
              <w:rPr>
                <w:b/>
                <w:bCs/>
                <w:color w:val="1F3A52"/>
                <w:sz w:val="18"/>
                <w:szCs w:val="18"/>
              </w:rPr>
              <w:t>Area of work</w:t>
            </w:r>
          </w:p>
        </w:tc>
        <w:tc>
          <w:tcPr>
            <w:tcW w:w="6414" w:type="dxa"/>
            <w:tcMar>
              <w:top w:w="110" w:type="dxa"/>
              <w:left w:w="60" w:type="dxa"/>
              <w:bottom w:w="110" w:type="dxa"/>
              <w:right w:w="120" w:type="dxa"/>
            </w:tcMar>
          </w:tcPr>
          <w:p w14:paraId="23994E84" w14:textId="77777777" w:rsidR="00D03484" w:rsidRDefault="00000000">
            <w:pPr>
              <w:spacing w:line="264" w:lineRule="auto"/>
            </w:pPr>
            <w:r>
              <w:rPr>
                <w:sz w:val="19"/>
                <w:szCs w:val="19"/>
              </w:rPr>
              <w:t>England, Wales &amp; Scotland (UK-wide)</w:t>
            </w:r>
          </w:p>
        </w:tc>
      </w:tr>
      <w:tr w:rsidR="00D03484" w14:paraId="2ACC329A" w14:textId="77777777" w:rsidTr="00B20E04">
        <w:tblPrEx>
          <w:tblCellMar>
            <w:top w:w="0" w:type="dxa"/>
            <w:bottom w:w="0" w:type="dxa"/>
          </w:tblCellMar>
        </w:tblPrEx>
        <w:tc>
          <w:tcPr>
            <w:tcW w:w="2900" w:type="dxa"/>
            <w:tcMar>
              <w:top w:w="110" w:type="dxa"/>
              <w:left w:w="160" w:type="dxa"/>
              <w:bottom w:w="110" w:type="dxa"/>
              <w:right w:w="160" w:type="dxa"/>
            </w:tcMar>
          </w:tcPr>
          <w:p w14:paraId="1EC69C1D" w14:textId="77777777" w:rsidR="00D03484" w:rsidRDefault="00000000">
            <w:pPr>
              <w:spacing w:line="264" w:lineRule="auto"/>
            </w:pPr>
            <w:r>
              <w:rPr>
                <w:b/>
                <w:bCs/>
                <w:color w:val="1F3A52"/>
                <w:sz w:val="18"/>
                <w:szCs w:val="18"/>
              </w:rPr>
              <w:t>Acting for</w:t>
            </w:r>
          </w:p>
        </w:tc>
        <w:tc>
          <w:tcPr>
            <w:tcW w:w="6414" w:type="dxa"/>
            <w:tcMar>
              <w:top w:w="110" w:type="dxa"/>
              <w:left w:w="60" w:type="dxa"/>
              <w:bottom w:w="110" w:type="dxa"/>
              <w:right w:w="120" w:type="dxa"/>
            </w:tcMar>
          </w:tcPr>
          <w:p w14:paraId="445FD070" w14:textId="77777777" w:rsidR="00D03484" w:rsidRDefault="00000000">
            <w:pPr>
              <w:spacing w:line="264" w:lineRule="auto"/>
            </w:pPr>
            <w:r>
              <w:rPr>
                <w:sz w:val="19"/>
                <w:szCs w:val="19"/>
              </w:rPr>
              <w:t>Contractors, subcontractors, consultants and expert witness practices</w:t>
            </w:r>
          </w:p>
        </w:tc>
      </w:tr>
      <w:tr w:rsidR="00D03484" w14:paraId="30350071" w14:textId="77777777" w:rsidTr="00B20E04">
        <w:tblPrEx>
          <w:tblCellMar>
            <w:top w:w="0" w:type="dxa"/>
            <w:bottom w:w="0" w:type="dxa"/>
          </w:tblCellMar>
        </w:tblPrEx>
        <w:tc>
          <w:tcPr>
            <w:tcW w:w="2900" w:type="dxa"/>
            <w:tcMar>
              <w:top w:w="110" w:type="dxa"/>
              <w:left w:w="160" w:type="dxa"/>
              <w:bottom w:w="110" w:type="dxa"/>
              <w:right w:w="160" w:type="dxa"/>
            </w:tcMar>
          </w:tcPr>
          <w:p w14:paraId="76BE1695" w14:textId="77777777" w:rsidR="00D03484" w:rsidRDefault="00000000">
            <w:pPr>
              <w:spacing w:line="264" w:lineRule="auto"/>
            </w:pPr>
            <w:r>
              <w:rPr>
                <w:b/>
                <w:bCs/>
                <w:color w:val="1F3A52"/>
                <w:sz w:val="18"/>
                <w:szCs w:val="18"/>
              </w:rPr>
              <w:t>Services</w:t>
            </w:r>
          </w:p>
        </w:tc>
        <w:tc>
          <w:tcPr>
            <w:tcW w:w="6414" w:type="dxa"/>
            <w:tcMar>
              <w:top w:w="110" w:type="dxa"/>
              <w:left w:w="60" w:type="dxa"/>
              <w:bottom w:w="110" w:type="dxa"/>
              <w:right w:w="120" w:type="dxa"/>
            </w:tcMar>
          </w:tcPr>
          <w:p w14:paraId="75754DC2" w14:textId="77777777" w:rsidR="00D03484" w:rsidRDefault="00000000">
            <w:pPr>
              <w:spacing w:line="264" w:lineRule="auto"/>
            </w:pPr>
            <w:r>
              <w:rPr>
                <w:sz w:val="19"/>
                <w:szCs w:val="19"/>
              </w:rPr>
              <w:t>Independent quantum review and reports; expert, adjudication and litigation support; commercial position papers</w:t>
            </w:r>
          </w:p>
        </w:tc>
      </w:tr>
    </w:tbl>
    <w:p w14:paraId="7C5EB75A" w14:textId="77777777" w:rsidR="00D03484" w:rsidRDefault="00000000">
      <w:pPr>
        <w:keepNext/>
        <w:pBdr>
          <w:bottom w:val="single" w:sz="4" w:space="6" w:color="D7DCE1"/>
        </w:pBdr>
        <w:spacing w:before="380" w:after="120" w:line="240" w:lineRule="auto"/>
      </w:pPr>
      <w:r>
        <w:rPr>
          <w:rFonts w:ascii="Georgia" w:eastAsia="Georgia" w:hAnsi="Georgia" w:cs="Georgia"/>
          <w:b/>
          <w:bCs/>
          <w:color w:val="1F3A52"/>
          <w:sz w:val="27"/>
          <w:szCs w:val="27"/>
        </w:rPr>
        <w:t>Areas of Expertise</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57"/>
        <w:gridCol w:w="4657"/>
      </w:tblGrid>
      <w:tr w:rsidR="00D03484" w14:paraId="1123F89C" w14:textId="77777777" w:rsidTr="00B20E04">
        <w:tblPrEx>
          <w:tblCellMar>
            <w:top w:w="0" w:type="dxa"/>
            <w:bottom w:w="0" w:type="dxa"/>
          </w:tblCellMar>
        </w:tblPrEx>
        <w:tc>
          <w:tcPr>
            <w:tcW w:w="4657" w:type="dxa"/>
            <w:tcMar>
              <w:top w:w="60" w:type="dxa"/>
              <w:left w:w="0" w:type="dxa"/>
              <w:bottom w:w="60" w:type="dxa"/>
              <w:right w:w="200" w:type="dxa"/>
            </w:tcMar>
          </w:tcPr>
          <w:p w14:paraId="58AD02C3" w14:textId="77777777" w:rsidR="00D03484" w:rsidRDefault="00000000">
            <w:pPr>
              <w:spacing w:line="264" w:lineRule="auto"/>
            </w:pPr>
            <w:r>
              <w:rPr>
                <w:color w:val="3F6E8C"/>
                <w:sz w:val="20"/>
                <w:szCs w:val="20"/>
              </w:rPr>
              <w:t xml:space="preserve">—  </w:t>
            </w:r>
            <w:r>
              <w:t>Forensic quantum analysis</w:t>
            </w:r>
          </w:p>
        </w:tc>
        <w:tc>
          <w:tcPr>
            <w:tcW w:w="4657" w:type="dxa"/>
            <w:tcMar>
              <w:top w:w="60" w:type="dxa"/>
              <w:left w:w="0" w:type="dxa"/>
              <w:bottom w:w="60" w:type="dxa"/>
              <w:right w:w="200" w:type="dxa"/>
            </w:tcMar>
          </w:tcPr>
          <w:p w14:paraId="004FD17A" w14:textId="77777777" w:rsidR="00D03484" w:rsidRDefault="00000000">
            <w:pPr>
              <w:spacing w:line="264" w:lineRule="auto"/>
            </w:pPr>
            <w:r>
              <w:rPr>
                <w:color w:val="3F6E8C"/>
                <w:sz w:val="20"/>
                <w:szCs w:val="20"/>
              </w:rPr>
              <w:t xml:space="preserve">—  </w:t>
            </w:r>
            <w:r>
              <w:t>NEC3 / NEC4 compensation events</w:t>
            </w:r>
          </w:p>
        </w:tc>
      </w:tr>
      <w:tr w:rsidR="00D03484" w14:paraId="63F17196" w14:textId="77777777" w:rsidTr="00B20E04">
        <w:tblPrEx>
          <w:tblCellMar>
            <w:top w:w="0" w:type="dxa"/>
            <w:bottom w:w="0" w:type="dxa"/>
          </w:tblCellMar>
        </w:tblPrEx>
        <w:tc>
          <w:tcPr>
            <w:tcW w:w="4657" w:type="dxa"/>
            <w:tcMar>
              <w:top w:w="60" w:type="dxa"/>
              <w:left w:w="0" w:type="dxa"/>
              <w:bottom w:w="60" w:type="dxa"/>
              <w:right w:w="200" w:type="dxa"/>
            </w:tcMar>
          </w:tcPr>
          <w:p w14:paraId="2C05307F" w14:textId="58BD0826" w:rsidR="00D03484" w:rsidRDefault="00000000">
            <w:pPr>
              <w:spacing w:line="264" w:lineRule="auto"/>
            </w:pPr>
            <w:r>
              <w:rPr>
                <w:color w:val="3F6E8C"/>
                <w:sz w:val="20"/>
                <w:szCs w:val="20"/>
              </w:rPr>
              <w:t xml:space="preserve">—  </w:t>
            </w:r>
            <w:r>
              <w:t>ICC variations</w:t>
            </w:r>
          </w:p>
        </w:tc>
        <w:tc>
          <w:tcPr>
            <w:tcW w:w="4657" w:type="dxa"/>
            <w:tcMar>
              <w:top w:w="60" w:type="dxa"/>
              <w:left w:w="0" w:type="dxa"/>
              <w:bottom w:w="60" w:type="dxa"/>
              <w:right w:w="200" w:type="dxa"/>
            </w:tcMar>
          </w:tcPr>
          <w:p w14:paraId="5E224657" w14:textId="77777777" w:rsidR="00D03484" w:rsidRDefault="00000000">
            <w:pPr>
              <w:spacing w:line="264" w:lineRule="auto"/>
            </w:pPr>
            <w:r>
              <w:rPr>
                <w:color w:val="3F6E8C"/>
                <w:sz w:val="20"/>
                <w:szCs w:val="20"/>
              </w:rPr>
              <w:t xml:space="preserve">—  </w:t>
            </w:r>
            <w:r>
              <w:t xml:space="preserve">Defined Cost / </w:t>
            </w:r>
            <w:proofErr w:type="spellStart"/>
            <w:r>
              <w:t>SSoCC</w:t>
            </w:r>
            <w:proofErr w:type="spellEnd"/>
            <w:r>
              <w:t xml:space="preserve"> assessment</w:t>
            </w:r>
          </w:p>
        </w:tc>
      </w:tr>
      <w:tr w:rsidR="00D03484" w14:paraId="515D49D0" w14:textId="77777777" w:rsidTr="00B20E04">
        <w:tblPrEx>
          <w:tblCellMar>
            <w:top w:w="0" w:type="dxa"/>
            <w:bottom w:w="0" w:type="dxa"/>
          </w:tblCellMar>
        </w:tblPrEx>
        <w:tc>
          <w:tcPr>
            <w:tcW w:w="4657" w:type="dxa"/>
            <w:tcMar>
              <w:top w:w="60" w:type="dxa"/>
              <w:left w:w="0" w:type="dxa"/>
              <w:bottom w:w="60" w:type="dxa"/>
              <w:right w:w="200" w:type="dxa"/>
            </w:tcMar>
          </w:tcPr>
          <w:p w14:paraId="409F7C9B" w14:textId="77777777" w:rsidR="00D03484" w:rsidRDefault="00000000">
            <w:pPr>
              <w:spacing w:line="264" w:lineRule="auto"/>
            </w:pPr>
            <w:r>
              <w:rPr>
                <w:color w:val="3F6E8C"/>
                <w:sz w:val="20"/>
                <w:szCs w:val="20"/>
              </w:rPr>
              <w:t xml:space="preserve">—  </w:t>
            </w:r>
            <w:r>
              <w:t>Loss and expense</w:t>
            </w:r>
          </w:p>
        </w:tc>
        <w:tc>
          <w:tcPr>
            <w:tcW w:w="4657" w:type="dxa"/>
            <w:tcMar>
              <w:top w:w="60" w:type="dxa"/>
              <w:left w:w="0" w:type="dxa"/>
              <w:bottom w:w="60" w:type="dxa"/>
              <w:right w:w="200" w:type="dxa"/>
            </w:tcMar>
          </w:tcPr>
          <w:p w14:paraId="417C1C7A" w14:textId="77777777" w:rsidR="00D03484" w:rsidRDefault="00000000">
            <w:pPr>
              <w:spacing w:line="264" w:lineRule="auto"/>
            </w:pPr>
            <w:r>
              <w:rPr>
                <w:color w:val="3F6E8C"/>
                <w:sz w:val="20"/>
                <w:szCs w:val="20"/>
              </w:rPr>
              <w:t xml:space="preserve">—  </w:t>
            </w:r>
            <w:r>
              <w:t>Prolongation &amp; disruption costs</w:t>
            </w:r>
          </w:p>
        </w:tc>
      </w:tr>
      <w:tr w:rsidR="00D03484" w14:paraId="6A909EA4" w14:textId="77777777" w:rsidTr="00B20E04">
        <w:tblPrEx>
          <w:tblCellMar>
            <w:top w:w="0" w:type="dxa"/>
            <w:bottom w:w="0" w:type="dxa"/>
          </w:tblCellMar>
        </w:tblPrEx>
        <w:tc>
          <w:tcPr>
            <w:tcW w:w="4657" w:type="dxa"/>
            <w:tcMar>
              <w:top w:w="60" w:type="dxa"/>
              <w:left w:w="0" w:type="dxa"/>
              <w:bottom w:w="60" w:type="dxa"/>
              <w:right w:w="200" w:type="dxa"/>
            </w:tcMar>
          </w:tcPr>
          <w:p w14:paraId="02E59412" w14:textId="77777777" w:rsidR="00D03484" w:rsidRDefault="00000000">
            <w:pPr>
              <w:spacing w:line="264" w:lineRule="auto"/>
            </w:pPr>
            <w:r>
              <w:rPr>
                <w:color w:val="3F6E8C"/>
                <w:sz w:val="20"/>
                <w:szCs w:val="20"/>
              </w:rPr>
              <w:lastRenderedPageBreak/>
              <w:t xml:space="preserve">—  </w:t>
            </w:r>
            <w:r>
              <w:t>Extension of time assessment</w:t>
            </w:r>
          </w:p>
        </w:tc>
        <w:tc>
          <w:tcPr>
            <w:tcW w:w="4657" w:type="dxa"/>
            <w:tcMar>
              <w:top w:w="60" w:type="dxa"/>
              <w:left w:w="0" w:type="dxa"/>
              <w:bottom w:w="60" w:type="dxa"/>
              <w:right w:w="200" w:type="dxa"/>
            </w:tcMar>
          </w:tcPr>
          <w:p w14:paraId="3C6E3268" w14:textId="77777777" w:rsidR="00D03484" w:rsidRDefault="00000000">
            <w:pPr>
              <w:spacing w:line="264" w:lineRule="auto"/>
            </w:pPr>
            <w:r>
              <w:rPr>
                <w:color w:val="3F6E8C"/>
                <w:sz w:val="20"/>
                <w:szCs w:val="20"/>
              </w:rPr>
              <w:t xml:space="preserve">—  </w:t>
            </w:r>
            <w:r>
              <w:t>Final account disputes</w:t>
            </w:r>
          </w:p>
        </w:tc>
      </w:tr>
      <w:tr w:rsidR="00D03484" w14:paraId="107B6DBA" w14:textId="77777777" w:rsidTr="00B20E04">
        <w:tblPrEx>
          <w:tblCellMar>
            <w:top w:w="0" w:type="dxa"/>
            <w:bottom w:w="0" w:type="dxa"/>
          </w:tblCellMar>
        </w:tblPrEx>
        <w:tc>
          <w:tcPr>
            <w:tcW w:w="4657" w:type="dxa"/>
            <w:tcMar>
              <w:top w:w="60" w:type="dxa"/>
              <w:left w:w="0" w:type="dxa"/>
              <w:bottom w:w="60" w:type="dxa"/>
              <w:right w:w="200" w:type="dxa"/>
            </w:tcMar>
          </w:tcPr>
          <w:p w14:paraId="4922E8C5" w14:textId="77777777" w:rsidR="00D03484" w:rsidRDefault="00000000">
            <w:pPr>
              <w:spacing w:line="264" w:lineRule="auto"/>
            </w:pPr>
            <w:r>
              <w:rPr>
                <w:color w:val="3F6E8C"/>
                <w:sz w:val="20"/>
                <w:szCs w:val="20"/>
              </w:rPr>
              <w:t xml:space="preserve">—  </w:t>
            </w:r>
            <w:r>
              <w:t>Claims preparation &amp; negotiation</w:t>
            </w:r>
          </w:p>
        </w:tc>
        <w:tc>
          <w:tcPr>
            <w:tcW w:w="4657" w:type="dxa"/>
            <w:tcMar>
              <w:top w:w="60" w:type="dxa"/>
              <w:left w:w="0" w:type="dxa"/>
              <w:bottom w:w="60" w:type="dxa"/>
              <w:right w:w="200" w:type="dxa"/>
            </w:tcMar>
          </w:tcPr>
          <w:p w14:paraId="5B48BCAF" w14:textId="77777777" w:rsidR="00D03484" w:rsidRDefault="00000000">
            <w:pPr>
              <w:spacing w:line="264" w:lineRule="auto"/>
            </w:pPr>
            <w:r>
              <w:rPr>
                <w:color w:val="3F6E8C"/>
                <w:sz w:val="20"/>
                <w:szCs w:val="20"/>
              </w:rPr>
              <w:t xml:space="preserve">—  </w:t>
            </w:r>
            <w:r>
              <w:t>Independent commercial review</w:t>
            </w:r>
          </w:p>
        </w:tc>
      </w:tr>
      <w:tr w:rsidR="00D03484" w14:paraId="1D6EBF67" w14:textId="77777777" w:rsidTr="00B20E04">
        <w:tblPrEx>
          <w:tblCellMar>
            <w:top w:w="0" w:type="dxa"/>
            <w:bottom w:w="0" w:type="dxa"/>
          </w:tblCellMar>
        </w:tblPrEx>
        <w:tc>
          <w:tcPr>
            <w:tcW w:w="4657" w:type="dxa"/>
            <w:tcMar>
              <w:top w:w="60" w:type="dxa"/>
              <w:left w:w="0" w:type="dxa"/>
              <w:bottom w:w="60" w:type="dxa"/>
              <w:right w:w="200" w:type="dxa"/>
            </w:tcMar>
          </w:tcPr>
          <w:p w14:paraId="6A2D3E7A" w14:textId="77777777" w:rsidR="00D03484" w:rsidRDefault="00000000">
            <w:pPr>
              <w:spacing w:line="264" w:lineRule="auto"/>
            </w:pPr>
            <w:r>
              <w:rPr>
                <w:color w:val="3F6E8C"/>
                <w:sz w:val="20"/>
                <w:szCs w:val="20"/>
              </w:rPr>
              <w:t xml:space="preserve">—  </w:t>
            </w:r>
            <w:r>
              <w:t>Expert, adjudication &amp; litigation support</w:t>
            </w:r>
          </w:p>
        </w:tc>
        <w:tc>
          <w:tcPr>
            <w:tcW w:w="4657" w:type="dxa"/>
            <w:tcMar>
              <w:top w:w="60" w:type="dxa"/>
              <w:left w:w="0" w:type="dxa"/>
              <w:bottom w:w="60" w:type="dxa"/>
              <w:right w:w="200" w:type="dxa"/>
            </w:tcMar>
          </w:tcPr>
          <w:p w14:paraId="64C2BA37" w14:textId="77777777" w:rsidR="00D03484" w:rsidRDefault="00000000">
            <w:pPr>
              <w:spacing w:line="264" w:lineRule="auto"/>
            </w:pPr>
            <w:r>
              <w:rPr>
                <w:color w:val="3F6E8C"/>
                <w:sz w:val="20"/>
                <w:szCs w:val="20"/>
              </w:rPr>
              <w:t xml:space="preserve">—  </w:t>
            </w:r>
            <w:r>
              <w:t>Contractual entitlement analysis</w:t>
            </w:r>
          </w:p>
        </w:tc>
      </w:tr>
      <w:tr w:rsidR="00D03484" w14:paraId="63F2D719" w14:textId="77777777" w:rsidTr="00B20E04">
        <w:tblPrEx>
          <w:tblCellMar>
            <w:top w:w="0" w:type="dxa"/>
            <w:bottom w:w="0" w:type="dxa"/>
          </w:tblCellMar>
        </w:tblPrEx>
        <w:tc>
          <w:tcPr>
            <w:tcW w:w="4657" w:type="dxa"/>
            <w:tcMar>
              <w:top w:w="60" w:type="dxa"/>
              <w:left w:w="0" w:type="dxa"/>
              <w:bottom w:w="60" w:type="dxa"/>
              <w:right w:w="200" w:type="dxa"/>
            </w:tcMar>
          </w:tcPr>
          <w:p w14:paraId="3CB189B7" w14:textId="77777777" w:rsidR="00D03484" w:rsidRDefault="00000000">
            <w:pPr>
              <w:spacing w:line="264" w:lineRule="auto"/>
            </w:pPr>
            <w:r>
              <w:rPr>
                <w:color w:val="3F6E8C"/>
                <w:sz w:val="20"/>
                <w:szCs w:val="20"/>
              </w:rPr>
              <w:t xml:space="preserve">—  </w:t>
            </w:r>
            <w:r>
              <w:t>Dispute avoidance &amp; resolution</w:t>
            </w:r>
          </w:p>
        </w:tc>
        <w:tc>
          <w:tcPr>
            <w:tcW w:w="4657" w:type="dxa"/>
            <w:tcMar>
              <w:top w:w="60" w:type="dxa"/>
              <w:left w:w="0" w:type="dxa"/>
              <w:bottom w:w="60" w:type="dxa"/>
              <w:right w:w="200" w:type="dxa"/>
            </w:tcMar>
          </w:tcPr>
          <w:p w14:paraId="01FD0D46" w14:textId="77777777" w:rsidR="00D03484" w:rsidRDefault="00000000">
            <w:pPr>
              <w:spacing w:line="264" w:lineRule="auto"/>
            </w:pPr>
            <w:r>
              <w:rPr>
                <w:color w:val="3F6E8C"/>
                <w:sz w:val="20"/>
                <w:szCs w:val="20"/>
              </w:rPr>
              <w:t xml:space="preserve">—  </w:t>
            </w:r>
            <w:r>
              <w:t>Commercial strategy &amp; cost forecasting</w:t>
            </w:r>
          </w:p>
        </w:tc>
      </w:tr>
    </w:tbl>
    <w:p w14:paraId="25824FCB" w14:textId="77777777" w:rsidR="00D03484" w:rsidRDefault="00000000">
      <w:pPr>
        <w:keepNext/>
        <w:pBdr>
          <w:bottom w:val="single" w:sz="4" w:space="6" w:color="D7DCE1"/>
        </w:pBdr>
        <w:spacing w:before="380" w:after="120" w:line="240" w:lineRule="auto"/>
      </w:pPr>
      <w:r>
        <w:rPr>
          <w:rFonts w:ascii="Georgia" w:eastAsia="Georgia" w:hAnsi="Georgia" w:cs="Georgia"/>
          <w:b/>
          <w:bCs/>
          <w:color w:val="1F3A52"/>
          <w:sz w:val="27"/>
          <w:szCs w:val="27"/>
        </w:rPr>
        <w:t>Contract Experience</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57"/>
        <w:gridCol w:w="4657"/>
      </w:tblGrid>
      <w:tr w:rsidR="00D03484" w14:paraId="6362F5AE" w14:textId="77777777" w:rsidTr="00B20E04">
        <w:tblPrEx>
          <w:tblCellMar>
            <w:top w:w="0" w:type="dxa"/>
            <w:bottom w:w="0" w:type="dxa"/>
          </w:tblCellMar>
        </w:tblPrEx>
        <w:tc>
          <w:tcPr>
            <w:tcW w:w="4657" w:type="dxa"/>
            <w:tcMar>
              <w:top w:w="60" w:type="dxa"/>
              <w:left w:w="0" w:type="dxa"/>
              <w:bottom w:w="60" w:type="dxa"/>
              <w:right w:w="200" w:type="dxa"/>
            </w:tcMar>
          </w:tcPr>
          <w:p w14:paraId="133BDF6A" w14:textId="77777777" w:rsidR="00D03484" w:rsidRDefault="00000000">
            <w:pPr>
              <w:spacing w:line="264" w:lineRule="auto"/>
            </w:pPr>
            <w:r>
              <w:rPr>
                <w:color w:val="3F6E8C"/>
                <w:sz w:val="20"/>
                <w:szCs w:val="20"/>
              </w:rPr>
              <w:t xml:space="preserve">—  </w:t>
            </w:r>
            <w:r>
              <w:t>NEC3 Engineering &amp; Construction Contract</w:t>
            </w:r>
          </w:p>
        </w:tc>
        <w:tc>
          <w:tcPr>
            <w:tcW w:w="4657" w:type="dxa"/>
            <w:tcMar>
              <w:top w:w="60" w:type="dxa"/>
              <w:left w:w="0" w:type="dxa"/>
              <w:bottom w:w="60" w:type="dxa"/>
              <w:right w:w="200" w:type="dxa"/>
            </w:tcMar>
          </w:tcPr>
          <w:p w14:paraId="7AF6A69E" w14:textId="77777777" w:rsidR="00D03484" w:rsidRDefault="00000000">
            <w:pPr>
              <w:spacing w:line="264" w:lineRule="auto"/>
            </w:pPr>
            <w:r>
              <w:rPr>
                <w:color w:val="3F6E8C"/>
                <w:sz w:val="20"/>
                <w:szCs w:val="20"/>
              </w:rPr>
              <w:t xml:space="preserve">—  </w:t>
            </w:r>
            <w:r>
              <w:t>NEC4 Engineering &amp; Construction Contract</w:t>
            </w:r>
          </w:p>
        </w:tc>
      </w:tr>
      <w:tr w:rsidR="00D03484" w14:paraId="2F0DB597" w14:textId="77777777" w:rsidTr="00B20E04">
        <w:tblPrEx>
          <w:tblCellMar>
            <w:top w:w="0" w:type="dxa"/>
            <w:bottom w:w="0" w:type="dxa"/>
          </w:tblCellMar>
        </w:tblPrEx>
        <w:tc>
          <w:tcPr>
            <w:tcW w:w="4657" w:type="dxa"/>
            <w:tcMar>
              <w:top w:w="60" w:type="dxa"/>
              <w:left w:w="0" w:type="dxa"/>
              <w:bottom w:w="60" w:type="dxa"/>
              <w:right w:w="200" w:type="dxa"/>
            </w:tcMar>
          </w:tcPr>
          <w:p w14:paraId="6677FED5" w14:textId="77777777" w:rsidR="00D03484" w:rsidRDefault="00000000">
            <w:pPr>
              <w:spacing w:line="264" w:lineRule="auto"/>
            </w:pPr>
            <w:r>
              <w:rPr>
                <w:color w:val="3F6E8C"/>
                <w:sz w:val="20"/>
                <w:szCs w:val="20"/>
              </w:rPr>
              <w:t xml:space="preserve">—  </w:t>
            </w:r>
            <w:r>
              <w:t>NEC3 / NEC4 Engineering &amp; Construction Subcontract</w:t>
            </w:r>
          </w:p>
        </w:tc>
        <w:tc>
          <w:tcPr>
            <w:tcW w:w="4657" w:type="dxa"/>
            <w:tcMar>
              <w:top w:w="60" w:type="dxa"/>
              <w:left w:w="0" w:type="dxa"/>
              <w:bottom w:w="60" w:type="dxa"/>
              <w:right w:w="200" w:type="dxa"/>
            </w:tcMar>
          </w:tcPr>
          <w:p w14:paraId="24781D6D" w14:textId="77777777" w:rsidR="00D03484" w:rsidRDefault="00000000">
            <w:pPr>
              <w:spacing w:line="264" w:lineRule="auto"/>
            </w:pPr>
            <w:r>
              <w:rPr>
                <w:color w:val="3F6E8C"/>
                <w:sz w:val="20"/>
                <w:szCs w:val="20"/>
              </w:rPr>
              <w:t xml:space="preserve">—  </w:t>
            </w:r>
            <w:r>
              <w:t>ICC Ground Investigation Conditions</w:t>
            </w:r>
          </w:p>
        </w:tc>
      </w:tr>
      <w:tr w:rsidR="00D03484" w14:paraId="40856E15" w14:textId="77777777" w:rsidTr="00B20E04">
        <w:tblPrEx>
          <w:tblCellMar>
            <w:top w:w="0" w:type="dxa"/>
            <w:bottom w:w="0" w:type="dxa"/>
          </w:tblCellMar>
        </w:tblPrEx>
        <w:tc>
          <w:tcPr>
            <w:tcW w:w="4657" w:type="dxa"/>
            <w:tcMar>
              <w:top w:w="60" w:type="dxa"/>
              <w:left w:w="0" w:type="dxa"/>
              <w:bottom w:w="60" w:type="dxa"/>
              <w:right w:w="200" w:type="dxa"/>
            </w:tcMar>
          </w:tcPr>
          <w:p w14:paraId="3BFC3746" w14:textId="77777777" w:rsidR="00D03484" w:rsidRDefault="00000000">
            <w:pPr>
              <w:spacing w:line="264" w:lineRule="auto"/>
            </w:pPr>
            <w:r>
              <w:rPr>
                <w:color w:val="3F6E8C"/>
                <w:sz w:val="20"/>
                <w:szCs w:val="20"/>
              </w:rPr>
              <w:t xml:space="preserve">—  </w:t>
            </w:r>
            <w:r>
              <w:t>JCT Standard Building Contract</w:t>
            </w:r>
          </w:p>
        </w:tc>
        <w:tc>
          <w:tcPr>
            <w:tcW w:w="4657" w:type="dxa"/>
            <w:tcMar>
              <w:top w:w="60" w:type="dxa"/>
              <w:left w:w="0" w:type="dxa"/>
              <w:bottom w:w="60" w:type="dxa"/>
              <w:right w:w="200" w:type="dxa"/>
            </w:tcMar>
          </w:tcPr>
          <w:p w14:paraId="55E154F7" w14:textId="02494D56" w:rsidR="00D03484" w:rsidRDefault="00000000">
            <w:pPr>
              <w:spacing w:line="264" w:lineRule="auto"/>
            </w:pPr>
            <w:r>
              <w:rPr>
                <w:color w:val="3F6E8C"/>
                <w:sz w:val="20"/>
                <w:szCs w:val="20"/>
              </w:rPr>
              <w:t xml:space="preserve">—  </w:t>
            </w:r>
            <w:r>
              <w:t>Target Cost contracts</w:t>
            </w:r>
          </w:p>
        </w:tc>
      </w:tr>
      <w:tr w:rsidR="00D03484" w14:paraId="37208551" w14:textId="77777777" w:rsidTr="00B20E04">
        <w:tblPrEx>
          <w:tblCellMar>
            <w:top w:w="0" w:type="dxa"/>
            <w:bottom w:w="0" w:type="dxa"/>
          </w:tblCellMar>
        </w:tblPrEx>
        <w:tc>
          <w:tcPr>
            <w:tcW w:w="4657" w:type="dxa"/>
            <w:tcMar>
              <w:top w:w="60" w:type="dxa"/>
              <w:left w:w="0" w:type="dxa"/>
              <w:bottom w:w="60" w:type="dxa"/>
              <w:right w:w="200" w:type="dxa"/>
            </w:tcMar>
          </w:tcPr>
          <w:p w14:paraId="59DCFA1D" w14:textId="09528D0B" w:rsidR="00D03484" w:rsidRDefault="00000000">
            <w:pPr>
              <w:spacing w:line="264" w:lineRule="auto"/>
            </w:pPr>
            <w:r>
              <w:rPr>
                <w:color w:val="3F6E8C"/>
                <w:sz w:val="20"/>
                <w:szCs w:val="20"/>
              </w:rPr>
              <w:t xml:space="preserve">—  </w:t>
            </w:r>
            <w:r>
              <w:t xml:space="preserve">Bill of Quantities contracts </w:t>
            </w:r>
          </w:p>
        </w:tc>
        <w:tc>
          <w:tcPr>
            <w:tcW w:w="4657" w:type="dxa"/>
            <w:tcMar>
              <w:top w:w="60" w:type="dxa"/>
              <w:left w:w="0" w:type="dxa"/>
              <w:bottom w:w="60" w:type="dxa"/>
              <w:right w:w="200" w:type="dxa"/>
            </w:tcMar>
          </w:tcPr>
          <w:p w14:paraId="0D740640" w14:textId="2A9647CC" w:rsidR="00D03484" w:rsidRDefault="00000000">
            <w:pPr>
              <w:spacing w:line="264" w:lineRule="auto"/>
            </w:pPr>
            <w:r>
              <w:rPr>
                <w:color w:val="3F6E8C"/>
                <w:sz w:val="20"/>
                <w:szCs w:val="20"/>
              </w:rPr>
              <w:t xml:space="preserve">—  </w:t>
            </w:r>
            <w:r>
              <w:t>Cost reimbursable</w:t>
            </w:r>
          </w:p>
        </w:tc>
      </w:tr>
    </w:tbl>
    <w:p w14:paraId="75A73383" w14:textId="77777777" w:rsidR="00D03484" w:rsidRDefault="00000000">
      <w:pPr>
        <w:keepNext/>
        <w:pBdr>
          <w:bottom w:val="single" w:sz="4" w:space="6" w:color="D7DCE1"/>
        </w:pBdr>
        <w:spacing w:before="380" w:after="120" w:line="240" w:lineRule="auto"/>
      </w:pPr>
      <w:r>
        <w:rPr>
          <w:rFonts w:ascii="Georgia" w:eastAsia="Georgia" w:hAnsi="Georgia" w:cs="Georgia"/>
          <w:b/>
          <w:bCs/>
          <w:color w:val="1F3A52"/>
          <w:sz w:val="27"/>
          <w:szCs w:val="27"/>
        </w:rPr>
        <w:t>Selected Expert, Quantum &amp; Dispute Experience</w:t>
      </w:r>
    </w:p>
    <w:p w14:paraId="2A70268C" w14:textId="77777777" w:rsidR="00D03484" w:rsidRDefault="00000000">
      <w:pPr>
        <w:keepNext/>
        <w:spacing w:before="280" w:after="40" w:line="264" w:lineRule="auto"/>
      </w:pPr>
      <w:r>
        <w:rPr>
          <w:rFonts w:ascii="Georgia" w:eastAsia="Georgia" w:hAnsi="Georgia" w:cs="Georgia"/>
          <w:b/>
          <w:bCs/>
          <w:color w:val="1F3A52"/>
          <w:sz w:val="23"/>
          <w:szCs w:val="23"/>
        </w:rPr>
        <w:t>A63 Castle Street, Hull — Independent Review of Compensation Event CE043</w:t>
      </w:r>
    </w:p>
    <w:p w14:paraId="2B838960" w14:textId="209FE8C9" w:rsidR="00D03484" w:rsidRDefault="00000000">
      <w:pPr>
        <w:keepNext/>
        <w:spacing w:after="110" w:line="264" w:lineRule="auto"/>
      </w:pPr>
      <w:r>
        <w:rPr>
          <w:i/>
          <w:iCs/>
          <w:color w:val="5F666D"/>
          <w:sz w:val="18"/>
          <w:szCs w:val="18"/>
        </w:rPr>
        <w:t xml:space="preserve">Sword Construction UK Ltd v Balfour Beatty Civil Engineering </w:t>
      </w:r>
      <w:r w:rsidR="00B20E04">
        <w:rPr>
          <w:i/>
          <w:iCs/>
          <w:color w:val="5F666D"/>
          <w:sz w:val="18"/>
          <w:szCs w:val="18"/>
        </w:rPr>
        <w:t>Ltd (</w:t>
      </w:r>
      <w:r>
        <w:rPr>
          <w:i/>
          <w:iCs/>
          <w:color w:val="5F666D"/>
          <w:sz w:val="18"/>
          <w:szCs w:val="18"/>
        </w:rPr>
        <w:t xml:space="preserve">Employer: National </w:t>
      </w:r>
      <w:r w:rsidR="00B20E04">
        <w:rPr>
          <w:i/>
          <w:iCs/>
          <w:color w:val="5F666D"/>
          <w:sz w:val="18"/>
          <w:szCs w:val="18"/>
        </w:rPr>
        <w:t xml:space="preserve">Highways) </w:t>
      </w:r>
      <w:proofErr w:type="gramStart"/>
      <w:r w:rsidR="00B20E04">
        <w:rPr>
          <w:i/>
          <w:iCs/>
          <w:color w:val="5F666D"/>
          <w:sz w:val="18"/>
          <w:szCs w:val="18"/>
        </w:rPr>
        <w:t>·</w:t>
      </w:r>
      <w:r>
        <w:rPr>
          <w:i/>
          <w:iCs/>
          <w:color w:val="5F666D"/>
          <w:sz w:val="18"/>
          <w:szCs w:val="18"/>
        </w:rPr>
        <w:t xml:space="preserve">  NEC</w:t>
      </w:r>
      <w:proofErr w:type="gramEnd"/>
      <w:r>
        <w:rPr>
          <w:i/>
          <w:iCs/>
          <w:color w:val="5F666D"/>
          <w:sz w:val="18"/>
          <w:szCs w:val="18"/>
        </w:rPr>
        <w:t xml:space="preserve">3 ECS Option </w:t>
      </w:r>
      <w:r w:rsidR="00B20E04">
        <w:rPr>
          <w:i/>
          <w:iCs/>
          <w:color w:val="5F666D"/>
          <w:sz w:val="18"/>
          <w:szCs w:val="18"/>
        </w:rPr>
        <w:t>B · Independent</w:t>
      </w:r>
      <w:r>
        <w:rPr>
          <w:i/>
          <w:iCs/>
          <w:color w:val="5F666D"/>
          <w:sz w:val="18"/>
          <w:szCs w:val="18"/>
        </w:rPr>
        <w:t xml:space="preserve"> Quantity Surveyor, sole author</w:t>
      </w:r>
    </w:p>
    <w:p w14:paraId="7039EA69" w14:textId="2B1C9F47" w:rsidR="00D03484" w:rsidRDefault="00000000">
      <w:pPr>
        <w:spacing w:after="120"/>
      </w:pPr>
      <w:r>
        <w:t xml:space="preserve">An independent report assessing CE043, concerning the Contractor’s failure to provide Phase 2 underpass slab access on the contractual date of 18 June 2024 (fixed by CE028 / CA-41); access was not granted until 4 December 2024. The report confirms independence and absence of </w:t>
      </w:r>
      <w:r w:rsidR="00B20E04">
        <w:t>conflict and</w:t>
      </w:r>
      <w:r>
        <w:t xml:space="preserve"> acknowledges the overriding duty to any tribunal.</w:t>
      </w:r>
    </w:p>
    <w:p w14:paraId="78E2A35F" w14:textId="77777777" w:rsidR="00D03484" w:rsidRDefault="00000000">
      <w:pPr>
        <w:pStyle w:val="ListParagraph"/>
        <w:numPr>
          <w:ilvl w:val="0"/>
          <w:numId w:val="2"/>
        </w:numPr>
        <w:spacing w:after="90" w:line="276" w:lineRule="auto"/>
      </w:pPr>
      <w:r>
        <w:t>Entitlement assessed under Clauses 60, 62 and 63, prospectively at the dividing date using the Accepted Programme before that date (Cl.32 Programme 3)</w:t>
      </w:r>
    </w:p>
    <w:p w14:paraId="29A25CA3" w14:textId="77777777" w:rsidR="00D03484" w:rsidRDefault="00000000">
      <w:pPr>
        <w:pStyle w:val="ListParagraph"/>
        <w:numPr>
          <w:ilvl w:val="0"/>
          <w:numId w:val="2"/>
        </w:numPr>
        <w:spacing w:after="90" w:line="276" w:lineRule="auto"/>
      </w:pPr>
      <w:r>
        <w:t>Critical-delay analysis supporting a 193-day change to the Completion Date (27 March 2025 → 6 October 2025)</w:t>
      </w:r>
    </w:p>
    <w:p w14:paraId="54C8AD0F" w14:textId="77777777" w:rsidR="00D03484" w:rsidRDefault="00000000">
      <w:pPr>
        <w:pStyle w:val="ListParagraph"/>
        <w:numPr>
          <w:ilvl w:val="0"/>
          <w:numId w:val="2"/>
        </w:numPr>
        <w:spacing w:after="90" w:line="276" w:lineRule="auto"/>
      </w:pPr>
      <w:r>
        <w:t>Defined Cost-plus-Fee valuation of prolonged preliminaries, task gangs, additional waterproofing, imported labour and winter inefficiencies, with a BCIS inflation allowance</w:t>
      </w:r>
    </w:p>
    <w:p w14:paraId="31A3FC1B" w14:textId="77777777" w:rsidR="00D03484" w:rsidRDefault="00000000">
      <w:pPr>
        <w:pStyle w:val="ListParagraph"/>
        <w:numPr>
          <w:ilvl w:val="0"/>
          <w:numId w:val="2"/>
        </w:numPr>
        <w:spacing w:after="90" w:line="276" w:lineRule="auto"/>
      </w:pPr>
      <w:r>
        <w:t>Independent valuation of £1,877,346.21, against the subcontractor’s £647,191.93 and the contractor’s £255,700.28, benchmarked to CESMM4 productivity rates</w:t>
      </w:r>
    </w:p>
    <w:p w14:paraId="7B0B619C" w14:textId="77777777" w:rsidR="00D03484" w:rsidRDefault="00000000">
      <w:pPr>
        <w:keepNext/>
        <w:spacing w:before="280" w:after="40" w:line="264" w:lineRule="auto"/>
      </w:pPr>
      <w:r>
        <w:rPr>
          <w:rFonts w:ascii="Georgia" w:eastAsia="Georgia" w:hAnsi="Georgia" w:cs="Georgia"/>
          <w:b/>
          <w:bCs/>
          <w:color w:val="1F3A52"/>
          <w:sz w:val="23"/>
          <w:szCs w:val="23"/>
        </w:rPr>
        <w:t>Snowdonia Visual Impact Project (VIP)</w:t>
      </w:r>
    </w:p>
    <w:p w14:paraId="7EAC9AA6" w14:textId="127911F9" w:rsidR="00D03484" w:rsidRDefault="00000000">
      <w:pPr>
        <w:keepNext/>
        <w:spacing w:after="110" w:line="264" w:lineRule="auto"/>
      </w:pPr>
      <w:r>
        <w:rPr>
          <w:i/>
          <w:iCs/>
          <w:color w:val="5F666D"/>
          <w:sz w:val="18"/>
          <w:szCs w:val="18"/>
        </w:rPr>
        <w:t xml:space="preserve">Soil Engineering </w:t>
      </w:r>
      <w:proofErr w:type="spellStart"/>
      <w:r>
        <w:rPr>
          <w:i/>
          <w:iCs/>
          <w:color w:val="5F666D"/>
          <w:sz w:val="18"/>
          <w:szCs w:val="18"/>
        </w:rPr>
        <w:t>Geoservices</w:t>
      </w:r>
      <w:proofErr w:type="spellEnd"/>
      <w:r>
        <w:rPr>
          <w:i/>
          <w:iCs/>
          <w:color w:val="5F666D"/>
          <w:sz w:val="18"/>
          <w:szCs w:val="18"/>
        </w:rPr>
        <w:t xml:space="preserve"> Ltd / Hochtief (UK) Construction Ltd / National Grid Electricity Transmission </w:t>
      </w:r>
      <w:r w:rsidR="006734F7">
        <w:rPr>
          <w:i/>
          <w:iCs/>
          <w:color w:val="5F666D"/>
          <w:sz w:val="18"/>
          <w:szCs w:val="18"/>
        </w:rPr>
        <w:t>PLC · NEC</w:t>
      </w:r>
      <w:r>
        <w:rPr>
          <w:i/>
          <w:iCs/>
          <w:color w:val="5F666D"/>
          <w:sz w:val="18"/>
          <w:szCs w:val="18"/>
        </w:rPr>
        <w:t xml:space="preserve">4 ECC &amp; </w:t>
      </w:r>
      <w:r w:rsidR="006734F7">
        <w:rPr>
          <w:i/>
          <w:iCs/>
          <w:color w:val="5F666D"/>
          <w:sz w:val="18"/>
          <w:szCs w:val="18"/>
        </w:rPr>
        <w:t xml:space="preserve">ECS </w:t>
      </w:r>
      <w:proofErr w:type="gramStart"/>
      <w:r w:rsidR="006734F7">
        <w:rPr>
          <w:i/>
          <w:iCs/>
          <w:color w:val="5F666D"/>
          <w:sz w:val="18"/>
          <w:szCs w:val="18"/>
        </w:rPr>
        <w:t>·</w:t>
      </w:r>
      <w:r>
        <w:rPr>
          <w:i/>
          <w:iCs/>
          <w:color w:val="5F666D"/>
          <w:sz w:val="18"/>
          <w:szCs w:val="18"/>
        </w:rPr>
        <w:t xml:space="preserve">  Claims</w:t>
      </w:r>
      <w:proofErr w:type="gramEnd"/>
      <w:r>
        <w:rPr>
          <w:i/>
          <w:iCs/>
          <w:color w:val="5F666D"/>
          <w:sz w:val="18"/>
          <w:szCs w:val="18"/>
        </w:rPr>
        <w:t xml:space="preserve"> consultant (via </w:t>
      </w:r>
      <w:proofErr w:type="spellStart"/>
      <w:r>
        <w:rPr>
          <w:i/>
          <w:iCs/>
          <w:color w:val="5F666D"/>
          <w:sz w:val="18"/>
          <w:szCs w:val="18"/>
        </w:rPr>
        <w:t>Horabin</w:t>
      </w:r>
      <w:proofErr w:type="spellEnd"/>
      <w:r>
        <w:rPr>
          <w:i/>
          <w:iCs/>
          <w:color w:val="5F666D"/>
          <w:sz w:val="18"/>
          <w:szCs w:val="18"/>
        </w:rPr>
        <w:t xml:space="preserve"> Associates)</w:t>
      </w:r>
    </w:p>
    <w:p w14:paraId="3EB5D19C" w14:textId="77777777" w:rsidR="00D03484" w:rsidRDefault="00000000">
      <w:pPr>
        <w:spacing w:after="120"/>
      </w:pPr>
      <w:r>
        <w:t xml:space="preserve">Prepared and supported detailed NEC4 compensation event narratives for a major scheme undergrounding high-voltage cables through a tunnel beneath the </w:t>
      </w:r>
      <w:proofErr w:type="spellStart"/>
      <w:r>
        <w:t>Dwyryd</w:t>
      </w:r>
      <w:proofErr w:type="spellEnd"/>
      <w:r>
        <w:t xml:space="preserve"> Estuary — structured assessment of entitlement, time impact and changes to the Prices, grounded in the Scope, Site Information and contemporaneous records.</w:t>
      </w:r>
    </w:p>
    <w:p w14:paraId="60371886" w14:textId="77777777" w:rsidR="00D03484" w:rsidRDefault="00000000">
      <w:pPr>
        <w:pStyle w:val="ListParagraph"/>
        <w:numPr>
          <w:ilvl w:val="0"/>
          <w:numId w:val="2"/>
        </w:numPr>
        <w:spacing w:after="90" w:line="276" w:lineRule="auto"/>
      </w:pPr>
      <w:r>
        <w:t>Expert-style compensation event narratives with NEC4 clause-based entitlement and Defined Cost / time-impact analysis</w:t>
      </w:r>
    </w:p>
    <w:p w14:paraId="3CB4B821" w14:textId="77777777" w:rsidR="00D03484" w:rsidRDefault="00000000">
      <w:pPr>
        <w:pStyle w:val="ListParagraph"/>
        <w:numPr>
          <w:ilvl w:val="0"/>
          <w:numId w:val="2"/>
        </w:numPr>
        <w:spacing w:after="90" w:line="276" w:lineRule="auto"/>
      </w:pPr>
      <w:r>
        <w:t>Examples include CE-04 (increase in trackway quantity and change to the Scope), CE-33 (Level 1 lightning risk) and CE-38 (delayed mobilisation of a third drilling crew)</w:t>
      </w:r>
    </w:p>
    <w:p w14:paraId="7C088F98" w14:textId="77777777" w:rsidR="00D03484" w:rsidRDefault="00000000">
      <w:pPr>
        <w:pStyle w:val="ListParagraph"/>
        <w:numPr>
          <w:ilvl w:val="0"/>
          <w:numId w:val="2"/>
        </w:numPr>
        <w:spacing w:after="90" w:line="276" w:lineRule="auto"/>
      </w:pPr>
      <w:r>
        <w:t>On CE-04, refined the position from £1,269,039.57 applied to a substantiated £769,162.84, against £398,615.40 certified</w:t>
      </w:r>
    </w:p>
    <w:p w14:paraId="6F79B09A" w14:textId="77777777" w:rsidR="00D03484" w:rsidRDefault="00000000">
      <w:pPr>
        <w:keepNext/>
        <w:spacing w:before="280" w:after="40" w:line="264" w:lineRule="auto"/>
      </w:pPr>
      <w:r>
        <w:rPr>
          <w:rFonts w:ascii="Georgia" w:eastAsia="Georgia" w:hAnsi="Georgia" w:cs="Georgia"/>
          <w:b/>
          <w:bCs/>
          <w:color w:val="1F3A52"/>
          <w:sz w:val="23"/>
          <w:szCs w:val="23"/>
        </w:rPr>
        <w:lastRenderedPageBreak/>
        <w:t>Loch Kemp Pumped Storage Hydropower Project — Ground Investigation Claim (Borehole D8-BH2)</w:t>
      </w:r>
    </w:p>
    <w:p w14:paraId="2A7903D9" w14:textId="7D76EF51" w:rsidR="00D03484" w:rsidRDefault="00000000">
      <w:pPr>
        <w:keepNext/>
        <w:spacing w:after="110" w:line="264" w:lineRule="auto"/>
      </w:pPr>
      <w:r>
        <w:rPr>
          <w:i/>
          <w:iCs/>
          <w:color w:val="5F666D"/>
          <w:sz w:val="18"/>
          <w:szCs w:val="18"/>
        </w:rPr>
        <w:t xml:space="preserve">Soil Engineering </w:t>
      </w:r>
      <w:proofErr w:type="spellStart"/>
      <w:r>
        <w:rPr>
          <w:i/>
          <w:iCs/>
          <w:color w:val="5F666D"/>
          <w:sz w:val="18"/>
          <w:szCs w:val="18"/>
        </w:rPr>
        <w:t>Geoservices</w:t>
      </w:r>
      <w:proofErr w:type="spellEnd"/>
      <w:r>
        <w:rPr>
          <w:i/>
          <w:iCs/>
          <w:color w:val="5F666D"/>
          <w:sz w:val="18"/>
          <w:szCs w:val="18"/>
        </w:rPr>
        <w:t xml:space="preserve"> Ltd / Fichtner Consulting Engineers Ltd / Loch Kemp Storage </w:t>
      </w:r>
      <w:proofErr w:type="gramStart"/>
      <w:r>
        <w:rPr>
          <w:i/>
          <w:iCs/>
          <w:color w:val="5F666D"/>
          <w:sz w:val="18"/>
          <w:szCs w:val="18"/>
        </w:rPr>
        <w:t>Ltd  ·</w:t>
      </w:r>
      <w:proofErr w:type="gramEnd"/>
      <w:r>
        <w:rPr>
          <w:i/>
          <w:iCs/>
          <w:color w:val="5F666D"/>
          <w:sz w:val="18"/>
          <w:szCs w:val="18"/>
        </w:rPr>
        <w:t xml:space="preserve">  ICC for Ground Investigation (2011</w:t>
      </w:r>
      <w:r w:rsidR="006734F7">
        <w:rPr>
          <w:i/>
          <w:iCs/>
          <w:color w:val="5F666D"/>
          <w:sz w:val="18"/>
          <w:szCs w:val="18"/>
        </w:rPr>
        <w:t xml:space="preserve">) </w:t>
      </w:r>
      <w:proofErr w:type="gramStart"/>
      <w:r w:rsidR="006734F7">
        <w:rPr>
          <w:i/>
          <w:iCs/>
          <w:color w:val="5F666D"/>
          <w:sz w:val="18"/>
          <w:szCs w:val="18"/>
        </w:rPr>
        <w:t>·</w:t>
      </w:r>
      <w:r>
        <w:rPr>
          <w:i/>
          <w:iCs/>
          <w:color w:val="5F666D"/>
          <w:sz w:val="18"/>
          <w:szCs w:val="18"/>
        </w:rPr>
        <w:t xml:space="preserve">  Claims</w:t>
      </w:r>
      <w:proofErr w:type="gramEnd"/>
      <w:r>
        <w:rPr>
          <w:i/>
          <w:iCs/>
          <w:color w:val="5F666D"/>
          <w:sz w:val="18"/>
          <w:szCs w:val="18"/>
        </w:rPr>
        <w:t xml:space="preserve"> consultant (via </w:t>
      </w:r>
      <w:proofErr w:type="spellStart"/>
      <w:r>
        <w:rPr>
          <w:i/>
          <w:iCs/>
          <w:color w:val="5F666D"/>
          <w:sz w:val="18"/>
          <w:szCs w:val="18"/>
        </w:rPr>
        <w:t>Horabin</w:t>
      </w:r>
      <w:proofErr w:type="spellEnd"/>
      <w:r>
        <w:rPr>
          <w:i/>
          <w:iCs/>
          <w:color w:val="5F666D"/>
          <w:sz w:val="18"/>
          <w:szCs w:val="18"/>
        </w:rPr>
        <w:t xml:space="preserve"> Associates)</w:t>
      </w:r>
    </w:p>
    <w:p w14:paraId="7F957811" w14:textId="77777777" w:rsidR="00D03484" w:rsidRDefault="00000000">
      <w:pPr>
        <w:spacing w:after="120"/>
      </w:pPr>
      <w:r>
        <w:t>Prepared further and better particulars supporting an extension of time (Clause 44(1)) and additional payment (Clause 53(1)) arising from the Engineer’s instruction of 26 February 2024 to add a 25m borehole with six packer permeability tests, geophysics and instrumentation — a variation under Clause 51. Part of wider Loch Kemp claims involving instructed boreholes, track maintenance, ground conditions, specification ambiguity and access constraints.</w:t>
      </w:r>
    </w:p>
    <w:p w14:paraId="242C1505" w14:textId="77777777" w:rsidR="00D03484" w:rsidRDefault="00000000">
      <w:pPr>
        <w:pStyle w:val="ListParagraph"/>
        <w:numPr>
          <w:ilvl w:val="0"/>
          <w:numId w:val="2"/>
        </w:numPr>
        <w:spacing w:after="90" w:line="276" w:lineRule="auto"/>
      </w:pPr>
      <w:r>
        <w:t>ICC contractual entitlement analysis, variation valuation and extension-of-time assessment against contemporaneous records</w:t>
      </w:r>
    </w:p>
    <w:p w14:paraId="4A2F296C" w14:textId="77777777" w:rsidR="00D03484" w:rsidRDefault="00000000">
      <w:pPr>
        <w:pStyle w:val="ListParagraph"/>
        <w:numPr>
          <w:ilvl w:val="0"/>
          <w:numId w:val="2"/>
        </w:numPr>
        <w:spacing w:after="90" w:line="276" w:lineRule="auto"/>
      </w:pPr>
      <w:r>
        <w:t>On D8-BH2, refined the position from £211,745.26 applied to a substantiated £131,369.76, against £11,783.56 certified</w:t>
      </w:r>
    </w:p>
    <w:p w14:paraId="0E54EE74" w14:textId="77777777" w:rsidR="00D03484" w:rsidRDefault="00000000">
      <w:pPr>
        <w:keepNext/>
        <w:spacing w:before="280" w:after="40" w:line="264" w:lineRule="auto"/>
      </w:pPr>
      <w:r>
        <w:rPr>
          <w:rFonts w:ascii="Georgia" w:eastAsia="Georgia" w:hAnsi="Georgia" w:cs="Georgia"/>
          <w:b/>
          <w:bCs/>
          <w:color w:val="1F3A52"/>
          <w:sz w:val="23"/>
          <w:szCs w:val="23"/>
        </w:rPr>
        <w:t>177 Bothwell Street, Glasgow — HFD Construction Group Ltd v FES Ltd</w:t>
      </w:r>
    </w:p>
    <w:p w14:paraId="6B4C7FED" w14:textId="1F9879E1" w:rsidR="00D03484" w:rsidRDefault="00000000">
      <w:pPr>
        <w:keepNext/>
        <w:spacing w:after="110" w:line="264" w:lineRule="auto"/>
      </w:pPr>
      <w:r>
        <w:rPr>
          <w:i/>
          <w:iCs/>
          <w:color w:val="5F666D"/>
          <w:sz w:val="18"/>
          <w:szCs w:val="18"/>
        </w:rPr>
        <w:t xml:space="preserve">Court of Session (Outer House), </w:t>
      </w:r>
      <w:r w:rsidR="00B20E04">
        <w:rPr>
          <w:i/>
          <w:iCs/>
          <w:color w:val="5F666D"/>
          <w:sz w:val="18"/>
          <w:szCs w:val="18"/>
        </w:rPr>
        <w:t xml:space="preserve">Scotland </w:t>
      </w:r>
      <w:r w:rsidR="006734F7">
        <w:rPr>
          <w:i/>
          <w:iCs/>
          <w:color w:val="5F666D"/>
          <w:sz w:val="18"/>
          <w:szCs w:val="18"/>
        </w:rPr>
        <w:t>· Instructing</w:t>
      </w:r>
      <w:r>
        <w:rPr>
          <w:i/>
          <w:iCs/>
          <w:color w:val="5F666D"/>
          <w:sz w:val="18"/>
          <w:szCs w:val="18"/>
        </w:rPr>
        <w:t xml:space="preserve"> solicitors: </w:t>
      </w:r>
      <w:r w:rsidR="006734F7">
        <w:rPr>
          <w:i/>
          <w:iCs/>
          <w:color w:val="5F666D"/>
          <w:sz w:val="18"/>
          <w:szCs w:val="18"/>
        </w:rPr>
        <w:t xml:space="preserve">Dentons </w:t>
      </w:r>
      <w:proofErr w:type="gramStart"/>
      <w:r w:rsidR="006734F7">
        <w:rPr>
          <w:i/>
          <w:iCs/>
          <w:color w:val="5F666D"/>
          <w:sz w:val="18"/>
          <w:szCs w:val="18"/>
        </w:rPr>
        <w:t>·</w:t>
      </w:r>
      <w:r>
        <w:rPr>
          <w:i/>
          <w:iCs/>
          <w:color w:val="5F666D"/>
          <w:sz w:val="18"/>
          <w:szCs w:val="18"/>
        </w:rPr>
        <w:t xml:space="preserve">  Quantum</w:t>
      </w:r>
      <w:proofErr w:type="gramEnd"/>
      <w:r>
        <w:rPr>
          <w:i/>
          <w:iCs/>
          <w:color w:val="5F666D"/>
          <w:sz w:val="18"/>
          <w:szCs w:val="18"/>
        </w:rPr>
        <w:t xml:space="preserve"> / expert support (Bridge Expert Services)</w:t>
      </w:r>
    </w:p>
    <w:p w14:paraId="70D4923E" w14:textId="490D76E6" w:rsidR="00D03484" w:rsidRDefault="00000000">
      <w:pPr>
        <w:spacing w:after="120"/>
      </w:pPr>
      <w:r>
        <w:t xml:space="preserve">Forensic commercial and quantum support in major commercial litigation concerning disputed variations, acceleration, defects, beam encasement and loss and expense on a 14-storey Grade A office development. Expressly named in the expert quantum report of Christopher Everett, having assisted under the expert’s direction in collating and reviewing </w:t>
      </w:r>
      <w:r w:rsidR="00B20E04">
        <w:t>information</w:t>
      </w:r>
      <w:r>
        <w:t xml:space="preserve"> and verifying records and substantiation relating to the amounts claimed.</w:t>
      </w:r>
    </w:p>
    <w:p w14:paraId="25FB4AFD" w14:textId="77777777" w:rsidR="00D03484" w:rsidRDefault="00000000">
      <w:pPr>
        <w:pStyle w:val="ListParagraph"/>
        <w:numPr>
          <w:ilvl w:val="0"/>
          <w:numId w:val="2"/>
        </w:numPr>
        <w:spacing w:after="90" w:line="276" w:lineRule="auto"/>
      </w:pPr>
      <w:r>
        <w:t>Review and verification of substantiation records and disputed final account items</w:t>
      </w:r>
    </w:p>
    <w:p w14:paraId="34788621" w14:textId="77777777" w:rsidR="00D03484" w:rsidRDefault="00000000">
      <w:pPr>
        <w:pStyle w:val="ListParagraph"/>
        <w:numPr>
          <w:ilvl w:val="0"/>
          <w:numId w:val="2"/>
        </w:numPr>
        <w:spacing w:after="90" w:line="276" w:lineRule="auto"/>
      </w:pPr>
      <w:r>
        <w:t>Quantum analysis and valuation support; evidential review supporting expert reporting on loss and expense</w:t>
      </w:r>
    </w:p>
    <w:p w14:paraId="0EBE7F00" w14:textId="77777777" w:rsidR="00D03484" w:rsidRDefault="00000000">
      <w:pPr>
        <w:keepNext/>
        <w:spacing w:before="280" w:after="40" w:line="264" w:lineRule="auto"/>
      </w:pPr>
      <w:r>
        <w:rPr>
          <w:rFonts w:ascii="Georgia" w:eastAsia="Georgia" w:hAnsi="Georgia" w:cs="Georgia"/>
          <w:b/>
          <w:bCs/>
          <w:color w:val="1F3A52"/>
          <w:sz w:val="23"/>
          <w:szCs w:val="23"/>
        </w:rPr>
        <w:t>Martin House Children’s Hospice, Phase 2A &amp; 2B</w:t>
      </w:r>
    </w:p>
    <w:p w14:paraId="3D1AE2C4" w14:textId="12F01944" w:rsidR="00D03484" w:rsidRDefault="00000000">
      <w:pPr>
        <w:keepNext/>
        <w:spacing w:after="110" w:line="264" w:lineRule="auto"/>
      </w:pPr>
      <w:proofErr w:type="spellStart"/>
      <w:r>
        <w:rPr>
          <w:i/>
          <w:iCs/>
          <w:color w:val="5F666D"/>
          <w:sz w:val="18"/>
          <w:szCs w:val="18"/>
        </w:rPr>
        <w:t>Buildmer</w:t>
      </w:r>
      <w:proofErr w:type="spellEnd"/>
      <w:r>
        <w:rPr>
          <w:i/>
          <w:iCs/>
          <w:color w:val="5F666D"/>
          <w:sz w:val="18"/>
          <w:szCs w:val="18"/>
        </w:rPr>
        <w:t xml:space="preserve"> Ltd / Meldrum Construction Services </w:t>
      </w:r>
      <w:r w:rsidR="006734F7">
        <w:rPr>
          <w:i/>
          <w:iCs/>
          <w:color w:val="5F666D"/>
          <w:sz w:val="18"/>
          <w:szCs w:val="18"/>
        </w:rPr>
        <w:t>Ltd · Subcontract</w:t>
      </w:r>
      <w:r>
        <w:rPr>
          <w:i/>
          <w:iCs/>
          <w:color w:val="5F666D"/>
          <w:sz w:val="18"/>
          <w:szCs w:val="18"/>
        </w:rPr>
        <w:t xml:space="preserve"> variations (windows, doors &amp; curtain </w:t>
      </w:r>
      <w:r w:rsidR="00B20E04">
        <w:rPr>
          <w:i/>
          <w:iCs/>
          <w:color w:val="5F666D"/>
          <w:sz w:val="18"/>
          <w:szCs w:val="18"/>
        </w:rPr>
        <w:t xml:space="preserve">walling) </w:t>
      </w:r>
      <w:proofErr w:type="gramStart"/>
      <w:r w:rsidR="00B20E04">
        <w:rPr>
          <w:i/>
          <w:iCs/>
          <w:color w:val="5F666D"/>
          <w:sz w:val="18"/>
          <w:szCs w:val="18"/>
        </w:rPr>
        <w:t>·</w:t>
      </w:r>
      <w:r>
        <w:rPr>
          <w:i/>
          <w:iCs/>
          <w:color w:val="5F666D"/>
          <w:sz w:val="18"/>
          <w:szCs w:val="18"/>
        </w:rPr>
        <w:t xml:space="preserve">  Commercial</w:t>
      </w:r>
      <w:proofErr w:type="gramEnd"/>
      <w:r>
        <w:rPr>
          <w:i/>
          <w:iCs/>
          <w:color w:val="5F666D"/>
          <w:sz w:val="18"/>
          <w:szCs w:val="18"/>
        </w:rPr>
        <w:t xml:space="preserve"> &amp; contractual advisor</w:t>
      </w:r>
    </w:p>
    <w:p w14:paraId="4B7A42C8" w14:textId="77777777" w:rsidR="00D03484" w:rsidRDefault="00000000">
      <w:pPr>
        <w:spacing w:after="120"/>
      </w:pPr>
      <w:r>
        <w:t>Prepared a detailed commercial position paper on disputed subcontract variations and post-contract design development, presenting a structured claim of £111,401.16 with a contractual and valuation methodology for changes arising after acceptance of the principal change instruction (MCI 001).</w:t>
      </w:r>
    </w:p>
    <w:p w14:paraId="2C60DABC" w14:textId="77777777" w:rsidR="00D03484" w:rsidRDefault="00000000">
      <w:pPr>
        <w:pStyle w:val="ListParagraph"/>
        <w:numPr>
          <w:ilvl w:val="0"/>
          <w:numId w:val="2"/>
        </w:numPr>
        <w:spacing w:after="90" w:line="276" w:lineRule="auto"/>
      </w:pPr>
      <w:r>
        <w:t>Established the contractual baseline and traced post-contract changes to drawings, specifications, schedules and manufacturer information</w:t>
      </w:r>
    </w:p>
    <w:p w14:paraId="1AB41D3D" w14:textId="77777777" w:rsidR="00D03484" w:rsidRDefault="00000000">
      <w:pPr>
        <w:pStyle w:val="ListParagraph"/>
        <w:numPr>
          <w:ilvl w:val="0"/>
          <w:numId w:val="2"/>
        </w:numPr>
        <w:spacing w:after="90" w:line="276" w:lineRule="auto"/>
      </w:pPr>
      <w:r>
        <w:t>Fair-and-reasonable valuation under the variation provisions, with unit-by-unit reconciliation capturing both increases and credits</w:t>
      </w:r>
    </w:p>
    <w:p w14:paraId="0AD276D1" w14:textId="77777777" w:rsidR="00D03484" w:rsidRDefault="00000000">
      <w:pPr>
        <w:keepNext/>
        <w:pBdr>
          <w:bottom w:val="single" w:sz="4" w:space="6" w:color="D7DCE1"/>
        </w:pBdr>
        <w:spacing w:before="380" w:after="120" w:line="240" w:lineRule="auto"/>
      </w:pPr>
      <w:r>
        <w:rPr>
          <w:rFonts w:ascii="Georgia" w:eastAsia="Georgia" w:hAnsi="Georgia" w:cs="Georgia"/>
          <w:b/>
          <w:bCs/>
          <w:color w:val="1F3A52"/>
          <w:sz w:val="27"/>
          <w:szCs w:val="27"/>
        </w:rPr>
        <w:t>Career History</w:t>
      </w:r>
    </w:p>
    <w:p w14:paraId="4724F89B" w14:textId="77777777" w:rsidR="00D03484" w:rsidRDefault="00000000">
      <w:pPr>
        <w:keepNext/>
        <w:spacing w:before="260" w:after="30" w:line="264" w:lineRule="auto"/>
      </w:pPr>
      <w:r>
        <w:rPr>
          <w:rFonts w:ascii="Georgia" w:eastAsia="Georgia" w:hAnsi="Georgia" w:cs="Georgia"/>
          <w:b/>
          <w:bCs/>
          <w:color w:val="1F3A52"/>
        </w:rPr>
        <w:t>Commercial Manager — Logic-I / PFP, Heathrow Airport</w:t>
      </w:r>
    </w:p>
    <w:p w14:paraId="7062337D" w14:textId="77777777" w:rsidR="00D03484" w:rsidRDefault="00000000">
      <w:pPr>
        <w:keepNext/>
        <w:spacing w:after="110" w:line="264" w:lineRule="auto"/>
      </w:pPr>
      <w:r>
        <w:rPr>
          <w:b/>
          <w:bCs/>
          <w:color w:val="5F666D"/>
          <w:sz w:val="18"/>
          <w:szCs w:val="18"/>
        </w:rPr>
        <w:t>Mar 2025 – Present</w:t>
      </w:r>
      <w:r>
        <w:rPr>
          <w:color w:val="5F666D"/>
          <w:sz w:val="18"/>
          <w:szCs w:val="18"/>
        </w:rPr>
        <w:t xml:space="preserve"> </w:t>
      </w:r>
      <w:r>
        <w:rPr>
          <w:color w:val="3F6E8C"/>
          <w:sz w:val="18"/>
          <w:szCs w:val="18"/>
        </w:rPr>
        <w:t xml:space="preserve">    ·    </w:t>
      </w:r>
      <w:r>
        <w:rPr>
          <w:b/>
          <w:bCs/>
          <w:color w:val="5F666D"/>
          <w:sz w:val="18"/>
          <w:szCs w:val="18"/>
        </w:rPr>
        <w:t>NEC4 Option E</w:t>
      </w:r>
      <w:r>
        <w:rPr>
          <w:color w:val="5F666D"/>
          <w:sz w:val="18"/>
          <w:szCs w:val="18"/>
        </w:rPr>
        <w:t xml:space="preserve"> </w:t>
      </w:r>
      <w:r>
        <w:rPr>
          <w:color w:val="3F6E8C"/>
          <w:sz w:val="18"/>
          <w:szCs w:val="18"/>
        </w:rPr>
        <w:t xml:space="preserve">    ·    </w:t>
      </w:r>
      <w:r>
        <w:rPr>
          <w:b/>
          <w:bCs/>
          <w:color w:val="5F666D"/>
          <w:sz w:val="18"/>
          <w:szCs w:val="18"/>
        </w:rPr>
        <w:t>Aviation (live operational)</w:t>
      </w:r>
      <w:r>
        <w:rPr>
          <w:color w:val="5F666D"/>
          <w:sz w:val="18"/>
          <w:szCs w:val="18"/>
        </w:rPr>
        <w:t xml:space="preserve"> </w:t>
      </w:r>
    </w:p>
    <w:p w14:paraId="025E32CF" w14:textId="77777777" w:rsidR="00D03484" w:rsidRDefault="00000000">
      <w:pPr>
        <w:pStyle w:val="ListParagraph"/>
        <w:numPr>
          <w:ilvl w:val="0"/>
          <w:numId w:val="2"/>
        </w:numPr>
        <w:spacing w:after="90" w:line="276" w:lineRule="auto"/>
      </w:pPr>
      <w:r>
        <w:t>Full commercial responsibility for specialist passive fire protection works in a live operational aviation environment — procurement, subcontract administration, cost control, forecasting, valuations and final account</w:t>
      </w:r>
    </w:p>
    <w:p w14:paraId="72CFCDFE" w14:textId="77777777" w:rsidR="00D03484" w:rsidRDefault="00000000">
      <w:pPr>
        <w:pStyle w:val="ListParagraph"/>
        <w:numPr>
          <w:ilvl w:val="0"/>
          <w:numId w:val="2"/>
        </w:numPr>
        <w:spacing w:after="90" w:line="276" w:lineRule="auto"/>
      </w:pPr>
      <w:r>
        <w:t>Preparing, assessing and negotiating compensation events arising from design development, access restrictions and programme impacts; CVRs, cash flow and earned-value reporting</w:t>
      </w:r>
    </w:p>
    <w:p w14:paraId="291E7C38" w14:textId="77777777" w:rsidR="00D03484" w:rsidRDefault="00000000">
      <w:pPr>
        <w:keepNext/>
        <w:spacing w:before="260" w:after="30" w:line="264" w:lineRule="auto"/>
      </w:pPr>
      <w:r>
        <w:rPr>
          <w:rFonts w:ascii="Georgia" w:eastAsia="Georgia" w:hAnsi="Georgia" w:cs="Georgia"/>
          <w:b/>
          <w:bCs/>
          <w:color w:val="1F3A52"/>
        </w:rPr>
        <w:lastRenderedPageBreak/>
        <w:t xml:space="preserve">Senior QS / Change Management Consultant — Grasp QS / </w:t>
      </w:r>
      <w:proofErr w:type="spellStart"/>
      <w:r>
        <w:rPr>
          <w:rFonts w:ascii="Georgia" w:eastAsia="Georgia" w:hAnsi="Georgia" w:cs="Georgia"/>
          <w:b/>
          <w:bCs/>
          <w:color w:val="1F3A52"/>
        </w:rPr>
        <w:t>Exyte</w:t>
      </w:r>
      <w:proofErr w:type="spellEnd"/>
      <w:r>
        <w:rPr>
          <w:rFonts w:ascii="Georgia" w:eastAsia="Georgia" w:hAnsi="Georgia" w:cs="Georgia"/>
          <w:b/>
          <w:bCs/>
          <w:color w:val="1F3A52"/>
        </w:rPr>
        <w:t xml:space="preserve"> Hargreaves (Hinkley Point C)</w:t>
      </w:r>
    </w:p>
    <w:p w14:paraId="11902CD0" w14:textId="77777777" w:rsidR="00D03484" w:rsidRDefault="00000000">
      <w:pPr>
        <w:keepNext/>
        <w:spacing w:after="110" w:line="264" w:lineRule="auto"/>
      </w:pPr>
      <w:r>
        <w:rPr>
          <w:b/>
          <w:bCs/>
          <w:color w:val="5F666D"/>
          <w:sz w:val="18"/>
          <w:szCs w:val="18"/>
        </w:rPr>
        <w:t>Mar 2024 – Feb 2025</w:t>
      </w:r>
      <w:r>
        <w:rPr>
          <w:color w:val="5F666D"/>
          <w:sz w:val="18"/>
          <w:szCs w:val="18"/>
        </w:rPr>
        <w:t xml:space="preserve"> </w:t>
      </w:r>
      <w:r>
        <w:rPr>
          <w:color w:val="3F6E8C"/>
          <w:sz w:val="18"/>
          <w:szCs w:val="18"/>
        </w:rPr>
        <w:t xml:space="preserve">    ·    </w:t>
      </w:r>
      <w:r>
        <w:rPr>
          <w:b/>
          <w:bCs/>
          <w:color w:val="5F666D"/>
          <w:sz w:val="18"/>
          <w:szCs w:val="18"/>
        </w:rPr>
        <w:t>NEC3 Target Cost</w:t>
      </w:r>
      <w:r>
        <w:rPr>
          <w:color w:val="5F666D"/>
          <w:sz w:val="18"/>
          <w:szCs w:val="18"/>
        </w:rPr>
        <w:t xml:space="preserve"> </w:t>
      </w:r>
      <w:r>
        <w:rPr>
          <w:color w:val="3F6E8C"/>
          <w:sz w:val="18"/>
          <w:szCs w:val="18"/>
        </w:rPr>
        <w:t xml:space="preserve">    ·    </w:t>
      </w:r>
      <w:r>
        <w:rPr>
          <w:b/>
          <w:bCs/>
          <w:color w:val="5F666D"/>
          <w:sz w:val="18"/>
          <w:szCs w:val="18"/>
        </w:rPr>
        <w:t>Nuclear new build</w:t>
      </w:r>
      <w:r>
        <w:rPr>
          <w:color w:val="5F666D"/>
          <w:sz w:val="18"/>
          <w:szCs w:val="18"/>
        </w:rPr>
        <w:t xml:space="preserve"> </w:t>
      </w:r>
    </w:p>
    <w:p w14:paraId="6313F171" w14:textId="77777777" w:rsidR="00D03484" w:rsidRDefault="00000000">
      <w:pPr>
        <w:pStyle w:val="ListParagraph"/>
        <w:numPr>
          <w:ilvl w:val="0"/>
          <w:numId w:val="2"/>
        </w:numPr>
        <w:spacing w:after="90" w:line="276" w:lineRule="auto"/>
      </w:pPr>
      <w:r>
        <w:t>Managed change control on the HPC project — NEC project controls and compensation events from £5,000 to £15 million</w:t>
      </w:r>
    </w:p>
    <w:p w14:paraId="0F2259A4" w14:textId="77777777" w:rsidR="00D03484" w:rsidRDefault="00000000">
      <w:pPr>
        <w:pStyle w:val="ListParagraph"/>
        <w:numPr>
          <w:ilvl w:val="0"/>
          <w:numId w:val="2"/>
        </w:numPr>
        <w:spacing w:after="90" w:line="276" w:lineRule="auto"/>
      </w:pPr>
      <w:r>
        <w:t>Led client liaison and negotiation, produced robust submissions to contractual timelines, and mentored junior commercial staff</w:t>
      </w:r>
    </w:p>
    <w:p w14:paraId="33D59709" w14:textId="77777777" w:rsidR="00D03484" w:rsidRDefault="00000000">
      <w:pPr>
        <w:keepNext/>
        <w:spacing w:before="260" w:after="30" w:line="264" w:lineRule="auto"/>
      </w:pPr>
      <w:r>
        <w:rPr>
          <w:rFonts w:ascii="Georgia" w:eastAsia="Georgia" w:hAnsi="Georgia" w:cs="Georgia"/>
          <w:b/>
          <w:bCs/>
          <w:color w:val="1F3A52"/>
        </w:rPr>
        <w:t>Contracts Manager — Gleeds LLP / Hargreaves Jones (for NRS Dounreay), DCP Store Extension</w:t>
      </w:r>
    </w:p>
    <w:p w14:paraId="240FFF6D" w14:textId="77777777" w:rsidR="00D03484" w:rsidRDefault="00000000">
      <w:pPr>
        <w:keepNext/>
        <w:spacing w:after="110" w:line="264" w:lineRule="auto"/>
      </w:pPr>
      <w:r>
        <w:rPr>
          <w:b/>
          <w:bCs/>
          <w:color w:val="5F666D"/>
          <w:sz w:val="18"/>
          <w:szCs w:val="18"/>
        </w:rPr>
        <w:t>Jul 2022 – Mar 2024</w:t>
      </w:r>
      <w:r>
        <w:rPr>
          <w:color w:val="5F666D"/>
          <w:sz w:val="18"/>
          <w:szCs w:val="18"/>
        </w:rPr>
        <w:t xml:space="preserve"> </w:t>
      </w:r>
      <w:r>
        <w:rPr>
          <w:color w:val="3F6E8C"/>
          <w:sz w:val="18"/>
          <w:szCs w:val="18"/>
        </w:rPr>
        <w:t xml:space="preserve">    ·    </w:t>
      </w:r>
      <w:r>
        <w:rPr>
          <w:b/>
          <w:bCs/>
          <w:color w:val="5F666D"/>
          <w:sz w:val="18"/>
          <w:szCs w:val="18"/>
        </w:rPr>
        <w:t>£40m · NEC3 Option C</w:t>
      </w:r>
      <w:r>
        <w:rPr>
          <w:color w:val="5F666D"/>
          <w:sz w:val="18"/>
          <w:szCs w:val="18"/>
        </w:rPr>
        <w:t xml:space="preserve"> </w:t>
      </w:r>
      <w:r>
        <w:rPr>
          <w:color w:val="3F6E8C"/>
          <w:sz w:val="18"/>
          <w:szCs w:val="18"/>
        </w:rPr>
        <w:t xml:space="preserve">    ·    </w:t>
      </w:r>
      <w:r>
        <w:rPr>
          <w:b/>
          <w:bCs/>
          <w:color w:val="5F666D"/>
          <w:sz w:val="18"/>
          <w:szCs w:val="18"/>
        </w:rPr>
        <w:t>Nuclear</w:t>
      </w:r>
      <w:r>
        <w:rPr>
          <w:color w:val="5F666D"/>
          <w:sz w:val="18"/>
          <w:szCs w:val="18"/>
        </w:rPr>
        <w:t xml:space="preserve"> </w:t>
      </w:r>
    </w:p>
    <w:p w14:paraId="14C6B332" w14:textId="77777777" w:rsidR="00D03484" w:rsidRDefault="00000000">
      <w:pPr>
        <w:pStyle w:val="ListParagraph"/>
        <w:numPr>
          <w:ilvl w:val="0"/>
          <w:numId w:val="2"/>
        </w:numPr>
        <w:spacing w:after="90" w:line="276" w:lineRule="auto"/>
      </w:pPr>
      <w:r>
        <w:t>Commercial and contractual support to the NEC Project Manager on a nuclear storage facility extension</w:t>
      </w:r>
    </w:p>
    <w:p w14:paraId="25D53A4A" w14:textId="77777777" w:rsidR="00D03484" w:rsidRDefault="00000000">
      <w:pPr>
        <w:pStyle w:val="ListParagraph"/>
        <w:numPr>
          <w:ilvl w:val="0"/>
          <w:numId w:val="2"/>
        </w:numPr>
        <w:spacing w:after="90" w:line="276" w:lineRule="auto"/>
      </w:pPr>
      <w:r>
        <w:t>Managed high-value compensation events, including multi-million-pound COVID- and Brexit-related claims, working with lawyers and expert advisors to avoid formal proceedings</w:t>
      </w:r>
    </w:p>
    <w:p w14:paraId="0029FA69" w14:textId="77777777" w:rsidR="00D03484" w:rsidRDefault="00000000">
      <w:pPr>
        <w:keepNext/>
        <w:spacing w:before="260" w:after="30" w:line="264" w:lineRule="auto"/>
      </w:pPr>
      <w:r>
        <w:rPr>
          <w:rFonts w:ascii="Georgia" w:eastAsia="Georgia" w:hAnsi="Georgia" w:cs="Georgia"/>
          <w:b/>
          <w:bCs/>
          <w:color w:val="1F3A52"/>
        </w:rPr>
        <w:t xml:space="preserve">Senior QS / Claims Consultant (part-time) — </w:t>
      </w:r>
      <w:proofErr w:type="spellStart"/>
      <w:r>
        <w:rPr>
          <w:rFonts w:ascii="Georgia" w:eastAsia="Georgia" w:hAnsi="Georgia" w:cs="Georgia"/>
          <w:b/>
          <w:bCs/>
          <w:color w:val="1F3A52"/>
        </w:rPr>
        <w:t>Horabin</w:t>
      </w:r>
      <w:proofErr w:type="spellEnd"/>
      <w:r>
        <w:rPr>
          <w:rFonts w:ascii="Georgia" w:eastAsia="Georgia" w:hAnsi="Georgia" w:cs="Georgia"/>
          <w:b/>
          <w:bCs/>
          <w:color w:val="1F3A52"/>
        </w:rPr>
        <w:t xml:space="preserve"> Associates Ltd</w:t>
      </w:r>
    </w:p>
    <w:p w14:paraId="6578333B" w14:textId="77777777" w:rsidR="00D03484" w:rsidRDefault="00000000">
      <w:pPr>
        <w:keepNext/>
        <w:spacing w:after="110" w:line="264" w:lineRule="auto"/>
      </w:pPr>
      <w:r>
        <w:rPr>
          <w:b/>
          <w:bCs/>
          <w:color w:val="5F666D"/>
          <w:sz w:val="18"/>
          <w:szCs w:val="18"/>
        </w:rPr>
        <w:t>Mar 2022 – Dec 2024</w:t>
      </w:r>
      <w:r>
        <w:rPr>
          <w:color w:val="5F666D"/>
          <w:sz w:val="18"/>
          <w:szCs w:val="18"/>
        </w:rPr>
        <w:t xml:space="preserve"> </w:t>
      </w:r>
      <w:r>
        <w:rPr>
          <w:color w:val="3F6E8C"/>
          <w:sz w:val="18"/>
          <w:szCs w:val="18"/>
        </w:rPr>
        <w:t xml:space="preserve">    ·    </w:t>
      </w:r>
      <w:r>
        <w:rPr>
          <w:b/>
          <w:bCs/>
          <w:color w:val="5F666D"/>
          <w:sz w:val="18"/>
          <w:szCs w:val="18"/>
        </w:rPr>
        <w:t>Forensic quantum &amp; expert support on contentious matters</w:t>
      </w:r>
      <w:r>
        <w:rPr>
          <w:color w:val="5F666D"/>
          <w:sz w:val="18"/>
          <w:szCs w:val="18"/>
        </w:rPr>
        <w:t xml:space="preserve"> </w:t>
      </w:r>
    </w:p>
    <w:p w14:paraId="4F525B44" w14:textId="77777777" w:rsidR="00D03484" w:rsidRDefault="00000000">
      <w:pPr>
        <w:pStyle w:val="ListParagraph"/>
        <w:numPr>
          <w:ilvl w:val="0"/>
          <w:numId w:val="2"/>
        </w:numPr>
        <w:spacing w:after="90" w:line="276" w:lineRule="auto"/>
      </w:pPr>
      <w:r>
        <w:t>Prepared expert compensation event narratives and forensic quantum analysis for significant NEC- and ICC-based disputes (including the Snowdonia and Loch Kemp matters above), working alongside an expert delay planner</w:t>
      </w:r>
    </w:p>
    <w:p w14:paraId="25841918" w14:textId="77777777" w:rsidR="00D03484" w:rsidRDefault="00000000">
      <w:pPr>
        <w:keepNext/>
        <w:spacing w:before="260" w:after="30" w:line="264" w:lineRule="auto"/>
      </w:pPr>
      <w:r>
        <w:rPr>
          <w:rFonts w:ascii="Georgia" w:eastAsia="Georgia" w:hAnsi="Georgia" w:cs="Georgia"/>
          <w:b/>
          <w:bCs/>
          <w:color w:val="1F3A52"/>
        </w:rPr>
        <w:t>Commercial Lead / Senior QS — Tilbury Douglas Construction Ltd (A69 Bridge End Junction)</w:t>
      </w:r>
    </w:p>
    <w:p w14:paraId="57C37BF1" w14:textId="77777777" w:rsidR="00D03484" w:rsidRDefault="00000000">
      <w:pPr>
        <w:keepNext/>
        <w:spacing w:after="110" w:line="264" w:lineRule="auto"/>
      </w:pPr>
      <w:r>
        <w:rPr>
          <w:b/>
          <w:bCs/>
          <w:color w:val="5F666D"/>
          <w:sz w:val="18"/>
          <w:szCs w:val="18"/>
        </w:rPr>
        <w:t>May 2019 – Mar 2022</w:t>
      </w:r>
      <w:r>
        <w:rPr>
          <w:color w:val="5F666D"/>
          <w:sz w:val="18"/>
          <w:szCs w:val="18"/>
        </w:rPr>
        <w:t xml:space="preserve"> </w:t>
      </w:r>
      <w:r>
        <w:rPr>
          <w:color w:val="3F6E8C"/>
          <w:sz w:val="18"/>
          <w:szCs w:val="18"/>
        </w:rPr>
        <w:t xml:space="preserve">    ·    </w:t>
      </w:r>
      <w:r>
        <w:rPr>
          <w:b/>
          <w:bCs/>
          <w:color w:val="5F666D"/>
          <w:sz w:val="18"/>
          <w:szCs w:val="18"/>
        </w:rPr>
        <w:t>£22m · NEC3 Option C</w:t>
      </w:r>
      <w:r>
        <w:rPr>
          <w:color w:val="5F666D"/>
          <w:sz w:val="18"/>
          <w:szCs w:val="18"/>
        </w:rPr>
        <w:t xml:space="preserve"> </w:t>
      </w:r>
      <w:r>
        <w:rPr>
          <w:color w:val="3F6E8C"/>
          <w:sz w:val="18"/>
          <w:szCs w:val="18"/>
        </w:rPr>
        <w:t xml:space="preserve">    ·    </w:t>
      </w:r>
      <w:r>
        <w:rPr>
          <w:b/>
          <w:bCs/>
          <w:color w:val="5F666D"/>
          <w:sz w:val="18"/>
          <w:szCs w:val="18"/>
        </w:rPr>
        <w:t>Highways</w:t>
      </w:r>
      <w:r>
        <w:rPr>
          <w:color w:val="5F666D"/>
          <w:sz w:val="18"/>
          <w:szCs w:val="18"/>
        </w:rPr>
        <w:t xml:space="preserve"> </w:t>
      </w:r>
    </w:p>
    <w:p w14:paraId="0176BEAC" w14:textId="77777777" w:rsidR="00D03484" w:rsidRDefault="00000000">
      <w:pPr>
        <w:pStyle w:val="ListParagraph"/>
        <w:numPr>
          <w:ilvl w:val="0"/>
          <w:numId w:val="2"/>
        </w:numPr>
        <w:spacing w:after="90" w:line="276" w:lineRule="auto"/>
      </w:pPr>
      <w:r>
        <w:t>Led commercial management of a strategic highway junction upgrade, maximising the target-cost share position and administering all change from notification to settlement</w:t>
      </w:r>
    </w:p>
    <w:p w14:paraId="437D7219" w14:textId="77777777" w:rsidR="00D03484" w:rsidRDefault="00000000">
      <w:pPr>
        <w:pStyle w:val="ListParagraph"/>
        <w:numPr>
          <w:ilvl w:val="0"/>
          <w:numId w:val="2"/>
        </w:numPr>
        <w:spacing w:after="90" w:line="276" w:lineRule="auto"/>
      </w:pPr>
      <w:r>
        <w:t>Received a Highways England Personal Innovation Award for a safety-focused, cost-saving redesign</w:t>
      </w:r>
    </w:p>
    <w:p w14:paraId="3E8F09F7" w14:textId="77777777" w:rsidR="00D03484" w:rsidRDefault="00000000">
      <w:pPr>
        <w:keepNext/>
        <w:spacing w:before="260" w:after="30" w:line="264" w:lineRule="auto"/>
      </w:pPr>
      <w:r>
        <w:rPr>
          <w:rFonts w:ascii="Georgia" w:eastAsia="Georgia" w:hAnsi="Georgia" w:cs="Georgia"/>
          <w:b/>
          <w:bCs/>
          <w:color w:val="1F3A52"/>
        </w:rPr>
        <w:t>Senior QS / Change Lead — Kier (M20 Smart Motorway, Junctions 3–5)</w:t>
      </w:r>
    </w:p>
    <w:p w14:paraId="107E28B8" w14:textId="77777777" w:rsidR="00D03484" w:rsidRDefault="00000000">
      <w:pPr>
        <w:keepNext/>
        <w:spacing w:after="110" w:line="264" w:lineRule="auto"/>
      </w:pPr>
      <w:r>
        <w:rPr>
          <w:b/>
          <w:bCs/>
          <w:color w:val="5F666D"/>
          <w:sz w:val="18"/>
          <w:szCs w:val="18"/>
        </w:rPr>
        <w:t>Jun 2018 – May 2019</w:t>
      </w:r>
      <w:r>
        <w:rPr>
          <w:color w:val="5F666D"/>
          <w:sz w:val="18"/>
          <w:szCs w:val="18"/>
        </w:rPr>
        <w:t xml:space="preserve"> </w:t>
      </w:r>
      <w:r>
        <w:rPr>
          <w:color w:val="3F6E8C"/>
          <w:sz w:val="18"/>
          <w:szCs w:val="18"/>
        </w:rPr>
        <w:t xml:space="preserve">    ·    </w:t>
      </w:r>
      <w:r>
        <w:rPr>
          <w:b/>
          <w:bCs/>
          <w:color w:val="5F666D"/>
          <w:sz w:val="18"/>
          <w:szCs w:val="18"/>
        </w:rPr>
        <w:t>£100m · NEC3 Option C</w:t>
      </w:r>
      <w:r>
        <w:rPr>
          <w:color w:val="5F666D"/>
          <w:sz w:val="18"/>
          <w:szCs w:val="18"/>
        </w:rPr>
        <w:t xml:space="preserve"> </w:t>
      </w:r>
      <w:r>
        <w:rPr>
          <w:color w:val="3F6E8C"/>
          <w:sz w:val="18"/>
          <w:szCs w:val="18"/>
        </w:rPr>
        <w:t xml:space="preserve">    ·    </w:t>
      </w:r>
      <w:r>
        <w:rPr>
          <w:b/>
          <w:bCs/>
          <w:color w:val="5F666D"/>
          <w:sz w:val="18"/>
          <w:szCs w:val="18"/>
        </w:rPr>
        <w:t>Highways</w:t>
      </w:r>
      <w:r>
        <w:rPr>
          <w:color w:val="5F666D"/>
          <w:sz w:val="18"/>
          <w:szCs w:val="18"/>
        </w:rPr>
        <w:t xml:space="preserve"> </w:t>
      </w:r>
    </w:p>
    <w:p w14:paraId="52ECC21B" w14:textId="77777777" w:rsidR="00D03484" w:rsidRDefault="00000000">
      <w:pPr>
        <w:pStyle w:val="ListParagraph"/>
        <w:numPr>
          <w:ilvl w:val="0"/>
          <w:numId w:val="2"/>
        </w:numPr>
        <w:spacing w:after="90" w:line="276" w:lineRule="auto"/>
      </w:pPr>
      <w:r>
        <w:t>Managed compensation events from identification to agreement, working with planners to evaluate delay impacts and quantify time-related cost</w:t>
      </w:r>
    </w:p>
    <w:p w14:paraId="5FDF668A" w14:textId="77777777" w:rsidR="00D03484" w:rsidRDefault="00000000">
      <w:pPr>
        <w:keepNext/>
        <w:spacing w:before="260" w:after="30" w:line="264" w:lineRule="auto"/>
      </w:pPr>
      <w:r>
        <w:rPr>
          <w:rFonts w:ascii="Georgia" w:eastAsia="Georgia" w:hAnsi="Georgia" w:cs="Georgia"/>
          <w:b/>
          <w:bCs/>
          <w:color w:val="1F3A52"/>
        </w:rPr>
        <w:t>Earlier roles (2007 – 2018)</w:t>
      </w:r>
    </w:p>
    <w:p w14:paraId="186DA915" w14:textId="77777777" w:rsidR="00D03484" w:rsidRDefault="00000000">
      <w:pPr>
        <w:pStyle w:val="ListParagraph"/>
        <w:numPr>
          <w:ilvl w:val="0"/>
          <w:numId w:val="2"/>
        </w:numPr>
        <w:spacing w:after="90" w:line="276" w:lineRule="auto"/>
      </w:pPr>
      <w:r>
        <w:t xml:space="preserve">SLJV (Sisk / Lagan) — Senior QS: supported </w:t>
      </w:r>
      <w:proofErr w:type="spellStart"/>
      <w:r>
        <w:t>Systech</w:t>
      </w:r>
      <w:proofErr w:type="spellEnd"/>
      <w:r>
        <w:t xml:space="preserve"> International in clearing 1,000+ compensation event quotations on a £45m NEC3 Option C highway scheme (A19 / A1058 Coast Road)</w:t>
      </w:r>
    </w:p>
    <w:p w14:paraId="41FC4227" w14:textId="77777777" w:rsidR="00D03484" w:rsidRDefault="00000000">
      <w:pPr>
        <w:pStyle w:val="ListParagraph"/>
        <w:numPr>
          <w:ilvl w:val="0"/>
          <w:numId w:val="2"/>
        </w:numPr>
        <w:spacing w:after="90" w:line="276" w:lineRule="auto"/>
      </w:pPr>
      <w:proofErr w:type="spellStart"/>
      <w:r>
        <w:t>Socotec</w:t>
      </w:r>
      <w:proofErr w:type="spellEnd"/>
      <w:r>
        <w:t xml:space="preserve"> Ltd — Commercial Lead: HS2 Ground Investigation Framework (£15m p.a., ICC)</w:t>
      </w:r>
    </w:p>
    <w:p w14:paraId="05829C80" w14:textId="77777777" w:rsidR="00D03484" w:rsidRDefault="00000000">
      <w:pPr>
        <w:pStyle w:val="ListParagraph"/>
        <w:numPr>
          <w:ilvl w:val="0"/>
          <w:numId w:val="2"/>
        </w:numPr>
        <w:spacing w:after="90" w:line="276" w:lineRule="auto"/>
      </w:pPr>
      <w:r>
        <w:t>BAM Nuttall Ltd — Section QS: £500m Tottenham Court Road Station Upgrade (NEC3 Option C)</w:t>
      </w:r>
    </w:p>
    <w:p w14:paraId="7EBA952A" w14:textId="77777777" w:rsidR="00D03484" w:rsidRDefault="00000000">
      <w:pPr>
        <w:pStyle w:val="ListParagraph"/>
        <w:numPr>
          <w:ilvl w:val="0"/>
          <w:numId w:val="2"/>
        </w:numPr>
        <w:spacing w:after="90" w:line="276" w:lineRule="auto"/>
      </w:pPr>
      <w:r>
        <w:t xml:space="preserve">Corbyn Construction, </w:t>
      </w:r>
      <w:proofErr w:type="spellStart"/>
      <w:r>
        <w:t>Southbay</w:t>
      </w:r>
      <w:proofErr w:type="spellEnd"/>
      <w:r>
        <w:t xml:space="preserve"> Civil Engineering, </w:t>
      </w:r>
      <w:proofErr w:type="spellStart"/>
      <w:r>
        <w:t>VolkerStevin</w:t>
      </w:r>
      <w:proofErr w:type="spellEnd"/>
      <w:r>
        <w:t>, Cru Contracts and Carillion — QS roles across reinforced-concrete, marine, flood-defence and highways projects</w:t>
      </w:r>
    </w:p>
    <w:p w14:paraId="56F97513" w14:textId="77777777" w:rsidR="00D03484" w:rsidRDefault="00000000">
      <w:pPr>
        <w:keepNext/>
        <w:pBdr>
          <w:bottom w:val="single" w:sz="4" w:space="6" w:color="D7DCE1"/>
        </w:pBdr>
        <w:spacing w:before="380" w:after="120" w:line="240" w:lineRule="auto"/>
      </w:pPr>
      <w:r>
        <w:rPr>
          <w:rFonts w:ascii="Georgia" w:eastAsia="Georgia" w:hAnsi="Georgia" w:cs="Georgia"/>
          <w:b/>
          <w:bCs/>
          <w:color w:val="1F3A52"/>
          <w:sz w:val="27"/>
          <w:szCs w:val="27"/>
        </w:rPr>
        <w:lastRenderedPageBreak/>
        <w:t>Selected Earlier Project Portfolio</w:t>
      </w:r>
    </w:p>
    <w:p w14:paraId="3B0D4DAB" w14:textId="77777777" w:rsidR="00D03484" w:rsidRDefault="00000000">
      <w:pPr>
        <w:spacing w:after="140"/>
      </w:pPr>
      <w:r>
        <w:t>Representative projects illustrating breadth across highways, rail, marine, flood defence and regulated environments.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50"/>
        <w:gridCol w:w="2164"/>
      </w:tblGrid>
      <w:tr w:rsidR="00D03484" w14:paraId="509A1478" w14:textId="77777777" w:rsidTr="00B20E04">
        <w:tblPrEx>
          <w:tblCellMar>
            <w:top w:w="0" w:type="dxa"/>
            <w:bottom w:w="0" w:type="dxa"/>
          </w:tblCellMar>
        </w:tblPrEx>
        <w:trPr>
          <w:tblHeader/>
        </w:trPr>
        <w:tc>
          <w:tcPr>
            <w:tcW w:w="7150" w:type="dxa"/>
            <w:tcMar>
              <w:top w:w="60" w:type="dxa"/>
              <w:left w:w="40" w:type="dxa"/>
              <w:bottom w:w="70" w:type="dxa"/>
              <w:right w:w="120" w:type="dxa"/>
            </w:tcMar>
          </w:tcPr>
          <w:p w14:paraId="086964F4" w14:textId="77777777" w:rsidR="00D03484" w:rsidRDefault="00000000">
            <w:r>
              <w:rPr>
                <w:b/>
                <w:bCs/>
                <w:color w:val="1F3A52"/>
                <w:sz w:val="18"/>
                <w:szCs w:val="18"/>
              </w:rPr>
              <w:t>Project</w:t>
            </w:r>
          </w:p>
        </w:tc>
        <w:tc>
          <w:tcPr>
            <w:tcW w:w="2164" w:type="dxa"/>
            <w:tcMar>
              <w:top w:w="60" w:type="dxa"/>
              <w:left w:w="40" w:type="dxa"/>
              <w:bottom w:w="70" w:type="dxa"/>
              <w:right w:w="40" w:type="dxa"/>
            </w:tcMar>
          </w:tcPr>
          <w:p w14:paraId="4E529139" w14:textId="77777777" w:rsidR="00D03484" w:rsidRDefault="00000000">
            <w:pPr>
              <w:jc w:val="right"/>
            </w:pPr>
            <w:r>
              <w:rPr>
                <w:b/>
                <w:bCs/>
                <w:color w:val="1F3A52"/>
                <w:sz w:val="18"/>
                <w:szCs w:val="18"/>
              </w:rPr>
              <w:t>Approx. value</w:t>
            </w:r>
          </w:p>
        </w:tc>
      </w:tr>
      <w:tr w:rsidR="00D03484" w14:paraId="4DE92B3E" w14:textId="77777777" w:rsidTr="00B20E04">
        <w:tblPrEx>
          <w:tblCellMar>
            <w:top w:w="0" w:type="dxa"/>
            <w:bottom w:w="0" w:type="dxa"/>
          </w:tblCellMar>
        </w:tblPrEx>
        <w:tc>
          <w:tcPr>
            <w:tcW w:w="7150" w:type="dxa"/>
            <w:tcMar>
              <w:top w:w="70" w:type="dxa"/>
              <w:left w:w="40" w:type="dxa"/>
              <w:bottom w:w="70" w:type="dxa"/>
              <w:right w:w="120" w:type="dxa"/>
            </w:tcMar>
          </w:tcPr>
          <w:p w14:paraId="4210147D" w14:textId="77777777" w:rsidR="00D03484" w:rsidRDefault="00000000">
            <w:pPr>
              <w:spacing w:line="264" w:lineRule="auto"/>
            </w:pPr>
            <w:r>
              <w:rPr>
                <w:sz w:val="19"/>
                <w:szCs w:val="19"/>
              </w:rPr>
              <w:t>Manchester Metrolink — light-rail conversion; 200 Victorian structures &amp; four tunnels</w:t>
            </w:r>
          </w:p>
        </w:tc>
        <w:tc>
          <w:tcPr>
            <w:tcW w:w="2164" w:type="dxa"/>
            <w:tcMar>
              <w:top w:w="70" w:type="dxa"/>
              <w:left w:w="40" w:type="dxa"/>
              <w:bottom w:w="70" w:type="dxa"/>
              <w:right w:w="40" w:type="dxa"/>
            </w:tcMar>
          </w:tcPr>
          <w:p w14:paraId="7DEED187" w14:textId="77777777" w:rsidR="00D03484" w:rsidRDefault="00000000">
            <w:pPr>
              <w:jc w:val="right"/>
            </w:pPr>
            <w:r>
              <w:rPr>
                <w:color w:val="1F3A52"/>
                <w:sz w:val="19"/>
                <w:szCs w:val="19"/>
              </w:rPr>
              <w:t>£800m</w:t>
            </w:r>
          </w:p>
        </w:tc>
      </w:tr>
      <w:tr w:rsidR="00D03484" w14:paraId="154C2ED6" w14:textId="77777777" w:rsidTr="00B20E04">
        <w:tblPrEx>
          <w:tblCellMar>
            <w:top w:w="0" w:type="dxa"/>
            <w:bottom w:w="0" w:type="dxa"/>
          </w:tblCellMar>
        </w:tblPrEx>
        <w:tc>
          <w:tcPr>
            <w:tcW w:w="7150" w:type="dxa"/>
            <w:tcMar>
              <w:top w:w="70" w:type="dxa"/>
              <w:left w:w="40" w:type="dxa"/>
              <w:bottom w:w="70" w:type="dxa"/>
              <w:right w:w="120" w:type="dxa"/>
            </w:tcMar>
          </w:tcPr>
          <w:p w14:paraId="052CC577" w14:textId="77777777" w:rsidR="00D03484" w:rsidRDefault="00000000">
            <w:pPr>
              <w:spacing w:line="264" w:lineRule="auto"/>
            </w:pPr>
            <w:r>
              <w:rPr>
                <w:sz w:val="19"/>
                <w:szCs w:val="19"/>
              </w:rPr>
              <w:t>Tottenham Court Road Station Upgrade — deep shafts, tunnelling, Crossrail capacity</w:t>
            </w:r>
          </w:p>
        </w:tc>
        <w:tc>
          <w:tcPr>
            <w:tcW w:w="2164" w:type="dxa"/>
            <w:tcMar>
              <w:top w:w="70" w:type="dxa"/>
              <w:left w:w="40" w:type="dxa"/>
              <w:bottom w:w="70" w:type="dxa"/>
              <w:right w:w="40" w:type="dxa"/>
            </w:tcMar>
          </w:tcPr>
          <w:p w14:paraId="21A014D7" w14:textId="77777777" w:rsidR="00D03484" w:rsidRDefault="00000000">
            <w:pPr>
              <w:jc w:val="right"/>
            </w:pPr>
            <w:r>
              <w:rPr>
                <w:color w:val="1F3A52"/>
                <w:sz w:val="19"/>
                <w:szCs w:val="19"/>
              </w:rPr>
              <w:t>£500m</w:t>
            </w:r>
          </w:p>
        </w:tc>
      </w:tr>
      <w:tr w:rsidR="00D03484" w14:paraId="58AA6F7B" w14:textId="77777777" w:rsidTr="00B20E04">
        <w:tblPrEx>
          <w:tblCellMar>
            <w:top w:w="0" w:type="dxa"/>
            <w:bottom w:w="0" w:type="dxa"/>
          </w:tblCellMar>
        </w:tblPrEx>
        <w:tc>
          <w:tcPr>
            <w:tcW w:w="7150" w:type="dxa"/>
            <w:tcMar>
              <w:top w:w="70" w:type="dxa"/>
              <w:left w:w="40" w:type="dxa"/>
              <w:bottom w:w="70" w:type="dxa"/>
              <w:right w:w="120" w:type="dxa"/>
            </w:tcMar>
          </w:tcPr>
          <w:p w14:paraId="26AD7A19" w14:textId="77777777" w:rsidR="00D03484" w:rsidRDefault="00000000">
            <w:pPr>
              <w:spacing w:line="264" w:lineRule="auto"/>
            </w:pPr>
            <w:r>
              <w:rPr>
                <w:sz w:val="19"/>
                <w:szCs w:val="19"/>
              </w:rPr>
              <w:t>The Avenue Flood Alleviation — culverts, river reprofiling, 2.2M m³ earthworks</w:t>
            </w:r>
          </w:p>
        </w:tc>
        <w:tc>
          <w:tcPr>
            <w:tcW w:w="2164" w:type="dxa"/>
            <w:tcMar>
              <w:top w:w="70" w:type="dxa"/>
              <w:left w:w="40" w:type="dxa"/>
              <w:bottom w:w="70" w:type="dxa"/>
              <w:right w:w="40" w:type="dxa"/>
            </w:tcMar>
          </w:tcPr>
          <w:p w14:paraId="6831C6F4" w14:textId="77777777" w:rsidR="00D03484" w:rsidRDefault="00000000">
            <w:pPr>
              <w:jc w:val="right"/>
            </w:pPr>
            <w:r>
              <w:rPr>
                <w:color w:val="1F3A52"/>
                <w:sz w:val="19"/>
                <w:szCs w:val="19"/>
              </w:rPr>
              <w:t>£94m</w:t>
            </w:r>
          </w:p>
        </w:tc>
      </w:tr>
      <w:tr w:rsidR="00D03484" w14:paraId="4C863C40" w14:textId="77777777" w:rsidTr="00B20E04">
        <w:tblPrEx>
          <w:tblCellMar>
            <w:top w:w="0" w:type="dxa"/>
            <w:bottom w:w="0" w:type="dxa"/>
          </w:tblCellMar>
        </w:tblPrEx>
        <w:tc>
          <w:tcPr>
            <w:tcW w:w="7150" w:type="dxa"/>
            <w:tcMar>
              <w:top w:w="70" w:type="dxa"/>
              <w:left w:w="40" w:type="dxa"/>
              <w:bottom w:w="70" w:type="dxa"/>
              <w:right w:w="120" w:type="dxa"/>
            </w:tcMar>
          </w:tcPr>
          <w:p w14:paraId="1D83B0A8" w14:textId="77777777" w:rsidR="00D03484" w:rsidRDefault="00000000">
            <w:pPr>
              <w:spacing w:line="264" w:lineRule="auto"/>
            </w:pPr>
            <w:proofErr w:type="spellStart"/>
            <w:r>
              <w:rPr>
                <w:sz w:val="19"/>
                <w:szCs w:val="19"/>
              </w:rPr>
              <w:t>Smiths</w:t>
            </w:r>
            <w:proofErr w:type="spellEnd"/>
            <w:r>
              <w:rPr>
                <w:sz w:val="19"/>
                <w:szCs w:val="19"/>
              </w:rPr>
              <w:t xml:space="preserve"> Dock Regeneration — marine walls, demolition and earthworks</w:t>
            </w:r>
          </w:p>
        </w:tc>
        <w:tc>
          <w:tcPr>
            <w:tcW w:w="2164" w:type="dxa"/>
            <w:tcMar>
              <w:top w:w="70" w:type="dxa"/>
              <w:left w:w="40" w:type="dxa"/>
              <w:bottom w:w="70" w:type="dxa"/>
              <w:right w:w="40" w:type="dxa"/>
            </w:tcMar>
          </w:tcPr>
          <w:p w14:paraId="601CD0E1" w14:textId="77777777" w:rsidR="00D03484" w:rsidRDefault="00000000">
            <w:pPr>
              <w:jc w:val="right"/>
            </w:pPr>
            <w:r>
              <w:rPr>
                <w:color w:val="1F3A52"/>
                <w:sz w:val="19"/>
                <w:szCs w:val="19"/>
              </w:rPr>
              <w:t>£28m</w:t>
            </w:r>
          </w:p>
        </w:tc>
      </w:tr>
      <w:tr w:rsidR="00D03484" w14:paraId="52230BAD" w14:textId="77777777" w:rsidTr="00B20E04">
        <w:tblPrEx>
          <w:tblCellMar>
            <w:top w:w="0" w:type="dxa"/>
            <w:bottom w:w="0" w:type="dxa"/>
          </w:tblCellMar>
        </w:tblPrEx>
        <w:tc>
          <w:tcPr>
            <w:tcW w:w="7150" w:type="dxa"/>
            <w:tcMar>
              <w:top w:w="70" w:type="dxa"/>
              <w:left w:w="40" w:type="dxa"/>
              <w:bottom w:w="70" w:type="dxa"/>
              <w:right w:w="120" w:type="dxa"/>
            </w:tcMar>
          </w:tcPr>
          <w:p w14:paraId="54C24E66" w14:textId="77777777" w:rsidR="00D03484" w:rsidRDefault="00000000">
            <w:pPr>
              <w:spacing w:line="264" w:lineRule="auto"/>
            </w:pPr>
            <w:r>
              <w:rPr>
                <w:sz w:val="19"/>
                <w:szCs w:val="19"/>
              </w:rPr>
              <w:t>Tay Bridge Pier Protection — marine piling and precast scour protection</w:t>
            </w:r>
          </w:p>
        </w:tc>
        <w:tc>
          <w:tcPr>
            <w:tcW w:w="2164" w:type="dxa"/>
            <w:tcMar>
              <w:top w:w="70" w:type="dxa"/>
              <w:left w:w="40" w:type="dxa"/>
              <w:bottom w:w="70" w:type="dxa"/>
              <w:right w:w="40" w:type="dxa"/>
            </w:tcMar>
          </w:tcPr>
          <w:p w14:paraId="3D466F27" w14:textId="77777777" w:rsidR="00D03484" w:rsidRDefault="00000000">
            <w:pPr>
              <w:jc w:val="right"/>
            </w:pPr>
            <w:r>
              <w:rPr>
                <w:color w:val="1F3A52"/>
                <w:sz w:val="19"/>
                <w:szCs w:val="19"/>
              </w:rPr>
              <w:t>£17m</w:t>
            </w:r>
          </w:p>
        </w:tc>
      </w:tr>
      <w:tr w:rsidR="00D03484" w14:paraId="2AF3C6B0" w14:textId="77777777" w:rsidTr="00B20E04">
        <w:tblPrEx>
          <w:tblCellMar>
            <w:top w:w="0" w:type="dxa"/>
            <w:bottom w:w="0" w:type="dxa"/>
          </w:tblCellMar>
        </w:tblPrEx>
        <w:tc>
          <w:tcPr>
            <w:tcW w:w="7150" w:type="dxa"/>
            <w:tcMar>
              <w:top w:w="70" w:type="dxa"/>
              <w:left w:w="40" w:type="dxa"/>
              <w:bottom w:w="70" w:type="dxa"/>
              <w:right w:w="120" w:type="dxa"/>
            </w:tcMar>
          </w:tcPr>
          <w:p w14:paraId="2583C3E4" w14:textId="77777777" w:rsidR="00D03484" w:rsidRDefault="00000000">
            <w:pPr>
              <w:spacing w:line="264" w:lineRule="auto"/>
            </w:pPr>
            <w:r>
              <w:rPr>
                <w:sz w:val="19"/>
                <w:szCs w:val="19"/>
              </w:rPr>
              <w:t>Todmorden Flood Alleviation — 1.1km defences, culverts and rock armour</w:t>
            </w:r>
          </w:p>
        </w:tc>
        <w:tc>
          <w:tcPr>
            <w:tcW w:w="2164" w:type="dxa"/>
            <w:tcMar>
              <w:top w:w="70" w:type="dxa"/>
              <w:left w:w="40" w:type="dxa"/>
              <w:bottom w:w="70" w:type="dxa"/>
              <w:right w:w="40" w:type="dxa"/>
            </w:tcMar>
          </w:tcPr>
          <w:p w14:paraId="4AFEC5B6" w14:textId="77777777" w:rsidR="00D03484" w:rsidRDefault="00000000">
            <w:pPr>
              <w:jc w:val="right"/>
            </w:pPr>
            <w:r>
              <w:rPr>
                <w:color w:val="1F3A52"/>
                <w:sz w:val="19"/>
                <w:szCs w:val="19"/>
              </w:rPr>
              <w:t>£5m</w:t>
            </w:r>
          </w:p>
        </w:tc>
      </w:tr>
      <w:tr w:rsidR="00D03484" w14:paraId="2190F331" w14:textId="77777777" w:rsidTr="00B20E04">
        <w:tblPrEx>
          <w:tblCellMar>
            <w:top w:w="0" w:type="dxa"/>
            <w:bottom w:w="0" w:type="dxa"/>
          </w:tblCellMar>
        </w:tblPrEx>
        <w:tc>
          <w:tcPr>
            <w:tcW w:w="7150" w:type="dxa"/>
            <w:tcMar>
              <w:top w:w="70" w:type="dxa"/>
              <w:left w:w="40" w:type="dxa"/>
              <w:bottom w:w="70" w:type="dxa"/>
              <w:right w:w="120" w:type="dxa"/>
            </w:tcMar>
          </w:tcPr>
          <w:p w14:paraId="651A132B" w14:textId="77777777" w:rsidR="00D03484" w:rsidRDefault="00000000">
            <w:pPr>
              <w:spacing w:line="264" w:lineRule="auto"/>
            </w:pPr>
            <w:r>
              <w:rPr>
                <w:sz w:val="19"/>
                <w:szCs w:val="19"/>
              </w:rPr>
              <w:t>Swan Hunter Regeneration — quay restoration, sheet piling, cathodic protection</w:t>
            </w:r>
          </w:p>
        </w:tc>
        <w:tc>
          <w:tcPr>
            <w:tcW w:w="2164" w:type="dxa"/>
            <w:tcMar>
              <w:top w:w="70" w:type="dxa"/>
              <w:left w:w="40" w:type="dxa"/>
              <w:bottom w:w="70" w:type="dxa"/>
              <w:right w:w="40" w:type="dxa"/>
            </w:tcMar>
          </w:tcPr>
          <w:p w14:paraId="345E5288" w14:textId="77777777" w:rsidR="00D03484" w:rsidRDefault="00000000">
            <w:pPr>
              <w:jc w:val="right"/>
            </w:pPr>
            <w:r>
              <w:rPr>
                <w:color w:val="1F3A52"/>
                <w:sz w:val="19"/>
                <w:szCs w:val="19"/>
              </w:rPr>
              <w:t>£3m</w:t>
            </w:r>
          </w:p>
        </w:tc>
      </w:tr>
      <w:tr w:rsidR="00D03484" w14:paraId="76310CF6" w14:textId="77777777" w:rsidTr="00B20E04">
        <w:tblPrEx>
          <w:tblCellMar>
            <w:top w:w="0" w:type="dxa"/>
            <w:bottom w:w="0" w:type="dxa"/>
          </w:tblCellMar>
        </w:tblPrEx>
        <w:tc>
          <w:tcPr>
            <w:tcW w:w="7150" w:type="dxa"/>
            <w:tcMar>
              <w:top w:w="70" w:type="dxa"/>
              <w:left w:w="40" w:type="dxa"/>
              <w:bottom w:w="70" w:type="dxa"/>
              <w:right w:w="120" w:type="dxa"/>
            </w:tcMar>
          </w:tcPr>
          <w:p w14:paraId="50CE52BA" w14:textId="77777777" w:rsidR="00D03484" w:rsidRDefault="00000000">
            <w:pPr>
              <w:spacing w:line="264" w:lineRule="auto"/>
            </w:pPr>
            <w:r>
              <w:rPr>
                <w:sz w:val="19"/>
                <w:szCs w:val="19"/>
              </w:rPr>
              <w:t>Stella Substation Flood Defence — permanent flood protection to a HV substation</w:t>
            </w:r>
          </w:p>
        </w:tc>
        <w:tc>
          <w:tcPr>
            <w:tcW w:w="2164" w:type="dxa"/>
            <w:tcMar>
              <w:top w:w="70" w:type="dxa"/>
              <w:left w:w="40" w:type="dxa"/>
              <w:bottom w:w="70" w:type="dxa"/>
              <w:right w:w="40" w:type="dxa"/>
            </w:tcMar>
          </w:tcPr>
          <w:p w14:paraId="16487EB1" w14:textId="77777777" w:rsidR="00D03484" w:rsidRDefault="00000000">
            <w:pPr>
              <w:jc w:val="right"/>
            </w:pPr>
            <w:r>
              <w:rPr>
                <w:color w:val="1F3A52"/>
                <w:sz w:val="19"/>
                <w:szCs w:val="19"/>
              </w:rPr>
              <w:t>£1m</w:t>
            </w:r>
          </w:p>
        </w:tc>
      </w:tr>
    </w:tbl>
    <w:p w14:paraId="52CB3034" w14:textId="77777777" w:rsidR="00D03484" w:rsidRDefault="00000000">
      <w:pPr>
        <w:keepNext/>
        <w:pBdr>
          <w:bottom w:val="single" w:sz="4" w:space="6" w:color="D7DCE1"/>
        </w:pBdr>
        <w:spacing w:before="380" w:after="120" w:line="240" w:lineRule="auto"/>
      </w:pPr>
      <w:r>
        <w:rPr>
          <w:rFonts w:ascii="Georgia" w:eastAsia="Georgia" w:hAnsi="Georgia" w:cs="Georgia"/>
          <w:b/>
          <w:bCs/>
          <w:color w:val="1F3A52"/>
          <w:sz w:val="27"/>
          <w:szCs w:val="27"/>
        </w:rPr>
        <w:t>Education &amp; Professional Development</w:t>
      </w:r>
    </w:p>
    <w:p w14:paraId="580517E0" w14:textId="77777777" w:rsidR="00D03484" w:rsidRDefault="00000000">
      <w:pPr>
        <w:pStyle w:val="ListParagraph"/>
        <w:numPr>
          <w:ilvl w:val="0"/>
          <w:numId w:val="2"/>
        </w:numPr>
        <w:spacing w:after="90" w:line="276" w:lineRule="auto"/>
      </w:pPr>
      <w:r>
        <w:t>BSc (Hons) Quantity Surveying — RICS-accredited degree</w:t>
      </w:r>
    </w:p>
    <w:p w14:paraId="5671D62C" w14:textId="77777777" w:rsidR="00D03484" w:rsidRDefault="00000000">
      <w:pPr>
        <w:pStyle w:val="ListParagraph"/>
        <w:numPr>
          <w:ilvl w:val="0"/>
          <w:numId w:val="2"/>
        </w:numPr>
        <w:spacing w:after="90" w:line="276" w:lineRule="auto"/>
      </w:pPr>
      <w:r>
        <w:t>Working towards full membership of the Chartered Institution of Civil Engineering Surveyors (CICES)</w:t>
      </w:r>
    </w:p>
    <w:p w14:paraId="6832421B" w14:textId="77777777" w:rsidR="00D03484" w:rsidRDefault="00000000">
      <w:pPr>
        <w:pStyle w:val="ListParagraph"/>
        <w:numPr>
          <w:ilvl w:val="0"/>
          <w:numId w:val="2"/>
        </w:numPr>
        <w:spacing w:after="90" w:line="276" w:lineRule="auto"/>
      </w:pPr>
      <w:r>
        <w:t>Continuing professional development, including potential CIArb membership and further expert-witness / dispute-resolution training</w:t>
      </w:r>
    </w:p>
    <w:p w14:paraId="6B1EE3C4" w14:textId="77777777" w:rsidR="00D03484" w:rsidRDefault="00000000">
      <w:pPr>
        <w:keepNext/>
        <w:pBdr>
          <w:bottom w:val="single" w:sz="4" w:space="6" w:color="D7DCE1"/>
        </w:pBdr>
        <w:spacing w:before="380" w:after="120" w:line="240" w:lineRule="auto"/>
      </w:pPr>
      <w:r>
        <w:rPr>
          <w:rFonts w:ascii="Georgia" w:eastAsia="Georgia" w:hAnsi="Georgia" w:cs="Georgia"/>
          <w:b/>
          <w:bCs/>
          <w:color w:val="1F3A52"/>
          <w:sz w:val="27"/>
          <w:szCs w:val="27"/>
        </w:rPr>
        <w:t>Awards &amp; Recognition</w:t>
      </w:r>
    </w:p>
    <w:p w14:paraId="1B14CDDE" w14:textId="77777777" w:rsidR="00D03484" w:rsidRDefault="00000000">
      <w:pPr>
        <w:pStyle w:val="ListParagraph"/>
        <w:numPr>
          <w:ilvl w:val="0"/>
          <w:numId w:val="2"/>
        </w:numPr>
        <w:spacing w:after="90" w:line="276" w:lineRule="auto"/>
      </w:pPr>
      <w:r>
        <w:t>Highways England Personal Innovation Award (2021) — safety-focused, cost-saving redesign on the A69 Bridge End project</w:t>
      </w:r>
    </w:p>
    <w:p w14:paraId="082A7446" w14:textId="77777777" w:rsidR="00D03484" w:rsidRDefault="00000000">
      <w:pPr>
        <w:pStyle w:val="ListParagraph"/>
        <w:numPr>
          <w:ilvl w:val="0"/>
          <w:numId w:val="2"/>
        </w:numPr>
        <w:spacing w:after="90" w:line="276" w:lineRule="auto"/>
      </w:pPr>
      <w:r>
        <w:t>Interserve Values Award, “Bring Better to Life” (2021) — safety, innovation, best practice and client focus on the A69 Bridge End project</w:t>
      </w:r>
    </w:p>
    <w:p w14:paraId="5FBB64DD" w14:textId="77777777" w:rsidR="00D03484" w:rsidRDefault="00000000">
      <w:pPr>
        <w:pBdr>
          <w:top w:val="single" w:sz="4" w:space="6" w:color="D7DCE1"/>
        </w:pBdr>
        <w:spacing w:before="280"/>
      </w:pPr>
      <w:r>
        <w:rPr>
          <w:i/>
          <w:iCs/>
          <w:color w:val="5F666D"/>
          <w:sz w:val="18"/>
          <w:szCs w:val="18"/>
        </w:rPr>
        <w:t>Fees and references available on request.</w:t>
      </w:r>
    </w:p>
    <w:sectPr w:rsidR="00D03484">
      <w:pgSz w:w="11906" w:h="16838"/>
      <w:pgMar w:top="1134" w:right="1296" w:bottom="1134" w:left="129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D442A"/>
    <w:multiLevelType w:val="hybridMultilevel"/>
    <w:tmpl w:val="88FA6D0A"/>
    <w:lvl w:ilvl="0" w:tplc="8EA6E9B0">
      <w:start w:val="1"/>
      <w:numFmt w:val="bullet"/>
      <w:lvlText w:val="●"/>
      <w:lvlJc w:val="left"/>
      <w:pPr>
        <w:ind w:left="720" w:hanging="360"/>
      </w:pPr>
    </w:lvl>
    <w:lvl w:ilvl="1" w:tplc="90B27440">
      <w:start w:val="1"/>
      <w:numFmt w:val="bullet"/>
      <w:lvlText w:val="○"/>
      <w:lvlJc w:val="left"/>
      <w:pPr>
        <w:ind w:left="1440" w:hanging="360"/>
      </w:pPr>
    </w:lvl>
    <w:lvl w:ilvl="2" w:tplc="572EDE6C">
      <w:start w:val="1"/>
      <w:numFmt w:val="bullet"/>
      <w:lvlText w:val="■"/>
      <w:lvlJc w:val="left"/>
      <w:pPr>
        <w:ind w:left="2160" w:hanging="360"/>
      </w:pPr>
    </w:lvl>
    <w:lvl w:ilvl="3" w:tplc="677ED4A6">
      <w:start w:val="1"/>
      <w:numFmt w:val="bullet"/>
      <w:lvlText w:val="●"/>
      <w:lvlJc w:val="left"/>
      <w:pPr>
        <w:ind w:left="2880" w:hanging="360"/>
      </w:pPr>
    </w:lvl>
    <w:lvl w:ilvl="4" w:tplc="A510000A">
      <w:start w:val="1"/>
      <w:numFmt w:val="bullet"/>
      <w:lvlText w:val="○"/>
      <w:lvlJc w:val="left"/>
      <w:pPr>
        <w:ind w:left="3600" w:hanging="360"/>
      </w:pPr>
    </w:lvl>
    <w:lvl w:ilvl="5" w:tplc="EA24E384">
      <w:start w:val="1"/>
      <w:numFmt w:val="bullet"/>
      <w:lvlText w:val="■"/>
      <w:lvlJc w:val="left"/>
      <w:pPr>
        <w:ind w:left="4320" w:hanging="360"/>
      </w:pPr>
    </w:lvl>
    <w:lvl w:ilvl="6" w:tplc="E2AC8EA8">
      <w:start w:val="1"/>
      <w:numFmt w:val="bullet"/>
      <w:lvlText w:val="●"/>
      <w:lvlJc w:val="left"/>
      <w:pPr>
        <w:ind w:left="5040" w:hanging="360"/>
      </w:pPr>
    </w:lvl>
    <w:lvl w:ilvl="7" w:tplc="6A0A715C">
      <w:start w:val="1"/>
      <w:numFmt w:val="bullet"/>
      <w:lvlText w:val="●"/>
      <w:lvlJc w:val="left"/>
      <w:pPr>
        <w:ind w:left="5760" w:hanging="360"/>
      </w:pPr>
    </w:lvl>
    <w:lvl w:ilvl="8" w:tplc="6B0C3B38">
      <w:start w:val="1"/>
      <w:numFmt w:val="bullet"/>
      <w:lvlText w:val="●"/>
      <w:lvlJc w:val="left"/>
      <w:pPr>
        <w:ind w:left="6480" w:hanging="360"/>
      </w:pPr>
    </w:lvl>
  </w:abstractNum>
  <w:abstractNum w:abstractNumId="1" w15:restartNumberingAfterBreak="0">
    <w:nsid w:val="33004F9E"/>
    <w:multiLevelType w:val="hybridMultilevel"/>
    <w:tmpl w:val="8612C322"/>
    <w:lvl w:ilvl="0" w:tplc="08090001">
      <w:start w:val="1"/>
      <w:numFmt w:val="bullet"/>
      <w:lvlText w:val=""/>
      <w:lvlJc w:val="left"/>
      <w:pPr>
        <w:ind w:left="500" w:hanging="360"/>
      </w:pPr>
      <w:rPr>
        <w:rFonts w:ascii="Symbol" w:hAnsi="Symbol" w:hint="default"/>
        <w:color w:val="3F6E8C"/>
      </w:rPr>
    </w:lvl>
    <w:lvl w:ilvl="1" w:tplc="92F426D2">
      <w:numFmt w:val="decimal"/>
      <w:lvlText w:val=""/>
      <w:lvlJc w:val="left"/>
    </w:lvl>
    <w:lvl w:ilvl="2" w:tplc="B0C058AC">
      <w:numFmt w:val="decimal"/>
      <w:lvlText w:val=""/>
      <w:lvlJc w:val="left"/>
    </w:lvl>
    <w:lvl w:ilvl="3" w:tplc="4E489F9E">
      <w:numFmt w:val="decimal"/>
      <w:lvlText w:val=""/>
      <w:lvlJc w:val="left"/>
    </w:lvl>
    <w:lvl w:ilvl="4" w:tplc="016E5992">
      <w:numFmt w:val="decimal"/>
      <w:lvlText w:val=""/>
      <w:lvlJc w:val="left"/>
    </w:lvl>
    <w:lvl w:ilvl="5" w:tplc="C85E3EBA">
      <w:numFmt w:val="decimal"/>
      <w:lvlText w:val=""/>
      <w:lvlJc w:val="left"/>
    </w:lvl>
    <w:lvl w:ilvl="6" w:tplc="C0B2FD3A">
      <w:numFmt w:val="decimal"/>
      <w:lvlText w:val=""/>
      <w:lvlJc w:val="left"/>
    </w:lvl>
    <w:lvl w:ilvl="7" w:tplc="2D14B2A8">
      <w:numFmt w:val="decimal"/>
      <w:lvlText w:val=""/>
      <w:lvlJc w:val="left"/>
    </w:lvl>
    <w:lvl w:ilvl="8" w:tplc="64380D8E">
      <w:numFmt w:val="decimal"/>
      <w:lvlText w:val=""/>
      <w:lvlJc w:val="left"/>
    </w:lvl>
  </w:abstractNum>
  <w:num w:numId="1" w16cid:durableId="600458449">
    <w:abstractNumId w:val="0"/>
    <w:lvlOverride w:ilvl="0">
      <w:startOverride w:val="1"/>
    </w:lvlOverride>
  </w:num>
  <w:num w:numId="2" w16cid:durableId="2118060314">
    <w:abstractNumId w:val="1"/>
  </w:num>
  <w:num w:numId="3" w16cid:durableId="506747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484"/>
    <w:rsid w:val="006734F7"/>
    <w:rsid w:val="007E081A"/>
    <w:rsid w:val="00B20E04"/>
    <w:rsid w:val="00D03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4129C6"/>
  <w15:docId w15:val="{76A56DA6-C3D7-654E-A057-EA02FDE22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A2E33"/>
        <w:sz w:val="21"/>
        <w:szCs w:val="21"/>
        <w:lang w:val="en-GB" w:eastAsia="en-GB"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1813</Words>
  <Characters>10339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James Allman BSc (Hons) — Curriculum Vitae</vt:lpstr>
    </vt:vector>
  </TitlesOfParts>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James Allman BSc (Hons) — Curriculum Vitae</dc:title>
  <dc:creator>James Allman</dc:creator>
  <cp:lastModifiedBy>James Allman</cp:lastModifiedBy>
  <cp:revision>2</cp:revision>
  <dcterms:created xsi:type="dcterms:W3CDTF">2026-06-08T08:26:00Z</dcterms:created>
  <dcterms:modified xsi:type="dcterms:W3CDTF">2026-06-08T08:26:00Z</dcterms:modified>
</cp:coreProperties>
</file>